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中南大学罗湘杭团队发表的高水平文章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JEM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09:50:20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  <w:t>[1]诚信科研编辑部通过筛库，发现中南大学罗湘杭团队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  <w:shd w:val="clear" w:color="auto" w:fill="FFFFFF"/>
        </w:rPr>
        <w:t>于2019 年 6 月 13 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9"/>
          <w:sz w:val="23"/>
          <w:szCs w:val="23"/>
          <w:shd w:val="clear" w:color="auto" w:fill="FFFFFF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222222"/>
          <w:spacing w:val="9"/>
          <w:sz w:val="23"/>
          <w:szCs w:val="23"/>
          <w:shd w:val="clear" w:color="auto" w:fill="FFFFFF"/>
        </w:rPr>
        <w:t>Journal of Experimental Medicine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9"/>
          <w:sz w:val="23"/>
          <w:szCs w:val="23"/>
          <w:shd w:val="clear" w:color="auto" w:fill="FFFFFF"/>
        </w:rPr>
        <w:t> (IF=13)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9"/>
          <w:sz w:val="23"/>
          <w:szCs w:val="23"/>
          <w:shd w:val="clear" w:color="auto" w:fill="FFFFFF"/>
        </w:rPr>
        <w:t>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Krüppel-like factor 3 inhibition by mutated lncRNA Reg1cp results in human high bone mass syndrome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9"/>
          <w:sz w:val="23"/>
          <w:szCs w:val="23"/>
          <w:shd w:val="clear" w:color="auto" w:fill="FFFFFF"/>
        </w:rPr>
        <w:t>，存在1对图片重复使用。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D92142"/>
          <w:spacing w:val="8"/>
          <w:sz w:val="23"/>
          <w:szCs w:val="23"/>
          <w:u w:val="none"/>
          <w:shd w:val="clear" w:color="auto" w:fill="FFFFFF"/>
        </w:rPr>
        <w:drawing>
          <wp:inline>
            <wp:extent cx="6143625" cy="3422368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811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2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394" w:lineRule="atLeast"/>
        <w:ind w:left="780" w:right="780"/>
        <w:rPr>
          <w:rStyle w:val="any"/>
          <w:rFonts w:ascii="Microsoft YaHei UI" w:eastAsia="Microsoft YaHei UI" w:hAnsi="Microsoft YaHei UI" w:cs="Microsoft YaHei UI"/>
          <w:b w:val="0"/>
          <w:bCs w:val="0"/>
          <w:color w:val="D92142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D92142"/>
          <w:spacing w:val="9"/>
          <w:sz w:val="26"/>
          <w:szCs w:val="26"/>
          <w:shd w:val="clear" w:color="auto" w:fill="FFFFFF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394" w:lineRule="atLeast"/>
        <w:ind w:left="780" w:right="780"/>
        <w:jc w:val="center"/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D92142"/>
          <w:spacing w:val="8"/>
          <w:sz w:val="23"/>
          <w:szCs w:val="23"/>
          <w:u w:val="none"/>
          <w:shd w:val="clear" w:color="auto" w:fill="FFFFFF"/>
        </w:rPr>
        <w:drawing>
          <wp:inline>
            <wp:extent cx="2486025" cy="159067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70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394" w:lineRule="atLeast"/>
        <w:ind w:left="540" w:right="540"/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  <w:t>对所有图片进行检测，iFigures发现有1对图片重复使用：图9J-1及9J-2出现部分重叠，但是代表明显不一样的实验结果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  <w:t>。</w:t>
      </w:r>
    </w:p>
    <w:p>
      <w:pPr>
        <w:spacing w:before="0" w:after="240" w:line="39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D92142"/>
          <w:spacing w:val="8"/>
          <w:sz w:val="23"/>
          <w:szCs w:val="23"/>
          <w:u w:val="none"/>
          <w:shd w:val="clear" w:color="auto" w:fill="FFFFFF"/>
        </w:rPr>
        <w:drawing>
          <wp:inline>
            <wp:extent cx="6143625" cy="3037853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30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03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394" w:lineRule="atLeast"/>
        <w:ind w:left="540" w:right="540"/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  <w:t>诚信科研将9J-1及9J-2调亮及放大，发现蓝色荧光部分明显重叠。</w:t>
      </w:r>
    </w:p>
    <w:p>
      <w:pPr>
        <w:spacing w:before="0" w:after="240" w:line="39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D92142"/>
          <w:spacing w:val="8"/>
          <w:sz w:val="23"/>
          <w:szCs w:val="23"/>
          <w:u w:val="none"/>
          <w:shd w:val="clear" w:color="auto" w:fill="FFFFFF"/>
        </w:rPr>
        <w:drawing>
          <wp:inline>
            <wp:extent cx="6143625" cy="3256054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515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25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394" w:lineRule="atLeast"/>
        <w:ind w:left="540" w:right="540"/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  <w:t>诚信科研编辑部建议作者核查原始数据，进一步更正文章重复的图片。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573&amp;idx=2&amp;sn=52108f6afe1e7ba954221ae66b363357&amp;chksm=c25f40d64c578aa6f29f3d29c059ff74e78a25f178f1196ea89bc97cd3df2fb1232272ff4f5a&amp;scene=126&amp;sessionid=17426645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