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图片遭质疑又无法提供原图，胜利油田中心医院肿瘤科及大庆油田总医院普外一科两篇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Oncol Res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论文遭撤回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碰到撤稿不用慌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碰到撤稿不用慌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2025-03-21 09:39:46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tbl>
      <w:tblPr>
        <w:tblStyle w:val="table"/>
        <w:tblW w:w="5000" w:type="pct"/>
        <w:tblInd w:w="455" w:type="dxa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2410"/>
        <w:gridCol w:w="29270"/>
      </w:tblGrid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2189"/>
        </w:trPr>
        <w:tc>
          <w:tcPr>
            <w:tcW w:w="8820" w:type="dxa"/>
            <w:gridSpan w:val="2"/>
            <w:noWrap w:val="0"/>
            <w:tcMar>
              <w:top w:w="80" w:type="dxa"/>
              <w:left w:w="155" w:type="dxa"/>
              <w:bottom w:w="80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</w:rPr>
              <w:drawing>
                <wp:inline>
                  <wp:extent cx="5302948" cy="993743"/>
                  <wp:docPr id="100001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6176152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2948" cy="9937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84"/>
        </w:trPr>
        <w:tc>
          <w:tcPr>
            <w:tcW w:w="8820" w:type="dxa"/>
            <w:gridSpan w:val="2"/>
            <w:noWrap w:val="0"/>
            <w:tcMar>
              <w:top w:w="80" w:type="dxa"/>
              <w:left w:w="155" w:type="dxa"/>
              <w:bottom w:w="80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/>
                <w:bCs/>
                <w:i w:val="0"/>
                <w:iCs w:val="0"/>
                <w:caps w:val="0"/>
                <w:smallCaps w:val="0"/>
                <w:color w:val="111111"/>
                <w:spacing w:val="8"/>
                <w:sz w:val="28"/>
                <w:szCs w:val="28"/>
              </w:rPr>
              <w:t>图片遭质疑又无法提供原图，胜利油田中心医院肿瘤科及大庆油田总医院普外一科两篇</w:t>
            </w:r>
            <w:r>
              <w:rPr>
                <w:rStyle w:val="any"/>
                <w:b/>
                <w:bCs/>
                <w:i w:val="0"/>
                <w:iCs w:val="0"/>
                <w:caps w:val="0"/>
                <w:smallCaps w:val="0"/>
                <w:color w:val="111111"/>
                <w:spacing w:val="8"/>
                <w:sz w:val="28"/>
                <w:szCs w:val="28"/>
              </w:rPr>
              <w:t>Oncol Res</w:t>
            </w:r>
            <w:r>
              <w:rPr>
                <w:rStyle w:val="any"/>
                <w:rFonts w:ascii="PMingLiU" w:eastAsia="PMingLiU" w:hAnsi="PMingLiU" w:cs="PMingLiU"/>
                <w:b/>
                <w:bCs/>
                <w:i w:val="0"/>
                <w:iCs w:val="0"/>
                <w:caps w:val="0"/>
                <w:smallCaps w:val="0"/>
                <w:color w:val="111111"/>
                <w:spacing w:val="8"/>
                <w:sz w:val="28"/>
                <w:szCs w:val="28"/>
              </w:rPr>
              <w:t>论文遭撤回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87"/>
        </w:trPr>
        <w:tc>
          <w:tcPr>
            <w:tcW w:w="8820" w:type="dxa"/>
            <w:gridSpan w:val="2"/>
            <w:tcBorders>
              <w:bottom w:val="single" w:sz="8" w:space="0" w:color="DDDDDD"/>
            </w:tcBorders>
            <w:noWrap w:val="0"/>
            <w:tcMar>
              <w:top w:w="80" w:type="dxa"/>
              <w:left w:w="155" w:type="dxa"/>
              <w:bottom w:w="85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11428A"/>
                <w:spacing w:val="8"/>
                <w:sz w:val="30"/>
                <w:szCs w:val="30"/>
                <w:vertAlign w:val="baseline"/>
              </w:rPr>
              <w:t>论 文 概 况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87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论文题目（英文）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第一篇：</w:t>
            </w: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miR-135a Confers Resistance to Gefitinib in Non-Small Cell Lung Cancer Cells by Upregulation of RAC1</w:t>
            </w: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  <w:kern w:val="36"/>
                <w:sz w:val="24"/>
                <w:szCs w:val="24"/>
              </w:rPr>
              <w:t>        </w:t>
            </w:r>
          </w:p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第二篇：</w:t>
            </w: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miR-144-3p Targets FosB Proto-oncogene, AP-1 Transcription Factor Subunit (FOSB) to Suppress Proliferation, Migration, and Invasion of PANC-1 Pancreatic Cancer Cells </w:t>
            </w: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  <w:kern w:val="36"/>
                <w:sz w:val="24"/>
                <w:szCs w:val="24"/>
              </w:rPr>
              <w:t>       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38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论文题目（中文）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第一篇：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miR-135a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通过上调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RAC1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表达非小细胞肺癌细胞对吉非替尼的耐药性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/>
                <w:bCs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第二篇：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miR-144-3p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靶向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FosB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原癌基因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AP-1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转录因子亚基（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FosB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）抑制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PANC-1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胰腺癌症细胞的增殖、迁移和侵袭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043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论文内容概要</w:t>
            </w: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       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第一篇：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EGFR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酪氨酸激酶抑制剂吉非替尼用于治疗非小细胞肺癌（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NSCLC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）。然而，众所周知，吉非替尼的治疗效果会受到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EGFR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突变的阻碍。本研究旨在揭示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miR-135a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在非小细胞肺癌细胞吉非替尼耐药性中的作用。用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miR-135a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模拟物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/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抑制剂或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miR-135a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抑制剂加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pEX-RAC1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（表达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RAC1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的载体）转染人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NSCLC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细胞系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NCI-H1650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和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NCI-H1975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。然后检测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miR-135a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和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RAC1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表达对细胞存活率、凋亡、迁移和侵袭的影响。将转染的细胞暴露于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0-20μM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吉非替尼中，然后在处理后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48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小时检测细胞存活率。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Western blot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分析检测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PI3K/AKT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通路中主要因子的表达变化。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miR-135a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过表达促进了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NCI-H1650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和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NCI-H1975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细胞的存活、迁移和侵袭，但抑制了它们的凋亡。吉非替尼显著降低了细胞存活率，吉非替宁在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NCI-H1650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和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NCI-H1795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细胞中的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LC50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值分别为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0.845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和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0.667μM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。即使在高浓度吉非替尼下，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miR-135a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的过表达也可以提高细胞存活率。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Rac1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没有被预测为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miR-135a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的靶标，而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miR-135a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可以上调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Rac1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的表达。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miR-135a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通过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RAC1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依赖的方式促进细胞生长和转移，并激活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PI3K/AKT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信号通路。总之，这项研究表明，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miR-135a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通过上调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RAC1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使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NSCLC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细胞对吉非替尼产生耐药性。旨在下调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miR-135a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的疗法可能有助于非小细胞肺癌患者克服吉非替尼耐药性。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第二篇：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本研究旨在探讨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miR-144-3p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在癌症（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PC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）发生中的作用，并探讨其在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PC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中的作用机制。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miR-144-3p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过表达显著抑制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PC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细胞增殖、迁移和侵袭。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FosB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原癌基因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AP-1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转录因子亚基（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FosB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）是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miR-144-3p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的靶基因。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miR-144-3p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可以通过抑制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FOSB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的表达来抑制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PC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细胞的增殖、迁移和侵袭。总之，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miR-144-3p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通过靶向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FOSB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在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PC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细胞增殖、迁移和侵袭中起着重要作用。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miR-144-3p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可能为开发针对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PC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的治疗药物提供新的靶点。</w:t>
            </w: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     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                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79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作者信息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vertAlign w:val="baseline"/>
              </w:rPr>
              <w:t>隐去，不公布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04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单位信息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/>
                <w:bCs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第一篇：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中国山东省东营市胜利油田中心医院肿瘤科。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中国山东省东营市胜利油田中心医院胸外科。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/>
                <w:bCs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第二篇：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黑龙江省大庆市大庆油田总医院普通外科第一科，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38"/>
        </w:trPr>
        <w:tc>
          <w:tcPr>
            <w:tcW w:w="8820" w:type="dxa"/>
            <w:gridSpan w:val="2"/>
            <w:tcBorders>
              <w:top w:val="single" w:sz="8" w:space="0" w:color="DDDDDD"/>
              <w:bottom w:val="single" w:sz="8" w:space="0" w:color="DDDDDD"/>
            </w:tcBorders>
            <w:noWrap w:val="0"/>
            <w:tcMar>
              <w:top w:w="85" w:type="dxa"/>
              <w:left w:w="155" w:type="dxa"/>
              <w:bottom w:w="85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11428A"/>
                <w:spacing w:val="8"/>
                <w:sz w:val="30"/>
                <w:szCs w:val="30"/>
                <w:vertAlign w:val="baseline"/>
              </w:rPr>
              <w:t>具 体 撤 稿 情 况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38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撤稿杂志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Oncol Res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61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撤稿原因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图片遭质疑，无法提供原图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292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撤稿声明</w:t>
            </w: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       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第一篇：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发表后，人们对本文中的一些数字表示担忧。在许多情况下，本文中的蛋白质印迹呈现出非典型、形状异常和可能异常的蛋白质条带。我们联系了作者，并邀请他们对提出的问题发表评论，并提供原始的、未经修改的数字，但他们没有回应。因此，总编辑不再相信本文中数据的完整性，并决定撤回这篇文章。所有作者都没有回应有关此次撤回的信件。作为一家负责任的出版商，我们高度重视所发布内容的可靠性和完整性。我们对这种情况给我们的读者和所有有关方面造成的不便深表歉意。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                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第二篇：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发表后，人们对本文中的一些数字表示担忧。在细胞数据方面发现了一个意想不到的相似区域，尽管该区域周围的区域具有相对不同的细胞分布，但不同实验的结果本应显示出来。我们联系了作者，并邀请他们对提出的问题发表评论，并提供原始的、未经修改的数字，但他们没有回应。因此，总编辑不再相信本文中数据的完整性，并决定撤回这篇文章。所有作者都没有回应有关此次撤回的信件。作为一家负责任的出版商，我们高度重视所发布内容的可靠性和完整性。我们对这种情况给我们的读者和所有有关方面造成的不便深表歉意。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                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                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586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撤稿声明图片</w:t>
            </w: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       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vertAlign w:val="baseline"/>
              </w:rPr>
              <w:t>第一篇：</w:t>
            </w: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  <w:vertAlign w:val="baseline"/>
              </w:rPr>
              <w:drawing>
                <wp:inline>
                  <wp:extent cx="3653885" cy="1957102"/>
                  <wp:docPr id="100002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1789894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3885" cy="19571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vertAlign w:val="baseline"/>
              </w:rPr>
              <w:t>                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  <w:vertAlign w:val="baseline"/>
              </w:rPr>
              <w:drawing>
                <wp:inline>
                  <wp:extent cx="3655123" cy="2459355"/>
                  <wp:docPr id="100003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7037836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5123" cy="2459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vertAlign w:val="baseline"/>
              </w:rPr>
              <w:t>                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vertAlign w:val="baseline"/>
              </w:rPr>
              <w:t>第二篇：</w:t>
            </w: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  <w:vertAlign w:val="baseline"/>
              </w:rPr>
              <w:drawing>
                <wp:inline>
                  <wp:extent cx="3651313" cy="2336197"/>
                  <wp:docPr id="100004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0812472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1313" cy="23361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vertAlign w:val="baseline"/>
              </w:rPr>
              <w:t>                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</w:tc>
      </w:tr>
    </w:tbl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trike w:val="0"/>
          <w:spacing w:val="8"/>
          <w:u w:val="none"/>
        </w:rPr>
        <w:drawing>
          <wp:inline>
            <wp:extent cx="1920904" cy="952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94963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20904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 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lang w:val="en-US" w:eastAsia="en-US"/>
        </w:rPr>
        <w:t>       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           </w:t>
      </w:r>
      <w:r>
        <w:rPr>
          <w:rStyle w:val="any"/>
          <w:b w:val="0"/>
          <w:bCs w:val="0"/>
          <w:caps w:val="0"/>
          <w:smallCaps w:val="0"/>
          <w:spacing w:val="8"/>
        </w:rPr>
        <w:t>END </w:t>
      </w:r>
      <w:r>
        <w:rPr>
          <w:rStyle w:val="any"/>
          <w:rFonts w:ascii="Calibri" w:eastAsia="Calibri" w:hAnsi="Calibri" w:cs="Calibri"/>
          <w:b w:val="0"/>
          <w:bCs w:val="0"/>
          <w:spacing w:val="8"/>
        </w:rPr>
        <w:t>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trike w:val="0"/>
          <w:spacing w:val="8"/>
          <w:u w:val="none"/>
        </w:rPr>
        <w:drawing>
          <wp:inline>
            <wp:extent cx="4063460" cy="2507647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90713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063460" cy="2507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color w:val="FF0000"/>
          <w:spacing w:val="8"/>
        </w:rPr>
        <w:t>碰到撤稿不用慌，专注于提供论文撤稿危机公关服务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336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594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trike w:val="0"/>
          <w:spacing w:val="8"/>
          <w:u w:val="none"/>
        </w:rPr>
        <w:drawing>
          <wp:inline>
            <wp:extent cx="58489" cy="135118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17529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8489" cy="135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color w:val="FF0000"/>
          <w:spacing w:val="8"/>
          <w:sz w:val="18"/>
          <w:szCs w:val="18"/>
        </w:rPr>
        <w:t>觉得本文好看，请点击这里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spacing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   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table" w:customStyle="1" w:styleId="table">
    <w:name w:val="table"/>
    <w:basedOn w:val="TableNormal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MjY5MDc0MQ==&amp;mid=2247493976&amp;idx=1&amp;sn=e9865ba387697a5816616705d4967b7f&amp;chksm=c01aab336ffb57f9e2a02ecf84297194245166c3cf66de85e92ea26b00a98e0e66f799b87994&amp;scene=126&amp;sessionid=174266347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