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存在多处图像与其他论文相似及不适当引物等问题！广西医科大学第一附属医院论文遭撤稿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09:30:41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experimental &amp; clinical cancer research : CR (2019)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"Lnc-PDZD7 contributes to stemness properties and chemosensitivity in hepatocellular carcinoma through EZH2-mediated ATOH8 transcriptional repression “Lnc-PDZD7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EZH2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ATOH8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转录抑制促进肝细胞癌的干性和化学敏感性（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10.1186/s13046-019-1106-2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如何解释非常相似但不完全相同的菌落模式等问题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。该论文由来自广西医科大学第一附属医院肝胆外科；徐州医科大学附属医院普通外科的作者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Yi Zhang , Bo Tang , Jun Song , Shuiping Yu , Yang Li , Huizhao Su , Songqing He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Bo Tang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（广西医科大学第一附属医院肝胆外科）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Songqing He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（广西医科大学第一附属医院肝胆外科）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2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02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44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21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如何解释非常相似但不完全相同的菌落模式？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3C,G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肝癌中</w:t>
      </w:r>
      <w:r>
        <w:rPr>
          <w:rStyle w:val="any"/>
          <w:rFonts w:ascii="Times New Roman" w:eastAsia="Times New Roman" w:hAnsi="Times New Roman" w:cs="Times New Roman"/>
          <w:spacing w:val="8"/>
        </w:rPr>
        <w:t>δ</w:t>
      </w:r>
      <w:r>
        <w:rPr>
          <w:rStyle w:val="any"/>
          <w:rFonts w:ascii="PMingLiU" w:eastAsia="PMingLiU" w:hAnsi="PMingLiU" w:cs="PMingLiU"/>
          <w:spacing w:val="8"/>
        </w:rPr>
        <w:t>阿片受体的上调促进体内和体外肝癌进展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Tang et al 2013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58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15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二甲双胍通过抑制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YAP </w:t>
      </w:r>
      <w:r>
        <w:rPr>
          <w:rStyle w:val="any"/>
          <w:rFonts w:ascii="PMingLiU" w:eastAsia="PMingLiU" w:hAnsi="PMingLiU" w:cs="PMingLiU"/>
          <w:spacing w:val="8"/>
        </w:rPr>
        <w:t>介导肝细胞癌对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5-</w:t>
      </w:r>
      <w:r>
        <w:rPr>
          <w:rStyle w:val="any"/>
          <w:rFonts w:ascii="PMingLiU" w:eastAsia="PMingLiU" w:hAnsi="PMingLiU" w:cs="PMingLiU"/>
          <w:spacing w:val="8"/>
        </w:rPr>
        <w:t>氟尿嘧啶的敏感性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Tian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2016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4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99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4G,H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“PEA15 </w:t>
      </w:r>
      <w:r>
        <w:rPr>
          <w:rStyle w:val="any"/>
          <w:rFonts w:ascii="PMingLiU" w:eastAsia="PMingLiU" w:hAnsi="PMingLiU" w:cs="PMingLiU"/>
          <w:spacing w:val="8"/>
        </w:rPr>
        <w:t>通过上调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ERK/MAPK </w:t>
      </w:r>
      <w:r>
        <w:rPr>
          <w:rStyle w:val="any"/>
          <w:rFonts w:ascii="PMingLiU" w:eastAsia="PMingLiU" w:hAnsi="PMingLiU" w:cs="PMingLiU"/>
          <w:spacing w:val="8"/>
        </w:rPr>
        <w:t>信号通路促进结直肠癌肝转移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Tang et al 2019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1F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“m6 A </w:t>
      </w:r>
      <w:r>
        <w:rPr>
          <w:rStyle w:val="any"/>
          <w:rFonts w:ascii="PMingLiU" w:eastAsia="PMingLiU" w:hAnsi="PMingLiU" w:cs="PMingLiU"/>
          <w:spacing w:val="8"/>
        </w:rPr>
        <w:t>修饰介导的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CBX8 </w:t>
      </w:r>
      <w:r>
        <w:rPr>
          <w:rStyle w:val="any"/>
          <w:rFonts w:ascii="PMingLiU" w:eastAsia="PMingLiU" w:hAnsi="PMingLiU" w:cs="PMingLiU"/>
          <w:spacing w:val="8"/>
        </w:rPr>
        <w:t>诱导通过上调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LGR5 </w:t>
      </w:r>
      <w:r>
        <w:rPr>
          <w:rStyle w:val="any"/>
          <w:rFonts w:ascii="PMingLiU" w:eastAsia="PMingLiU" w:hAnsi="PMingLiU" w:cs="PMingLiU"/>
          <w:spacing w:val="8"/>
        </w:rPr>
        <w:t>来调节结肠癌的干性和化学敏感性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Zhang et al 2019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179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65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“MicroRNA-644a </w:t>
      </w:r>
      <w:r>
        <w:rPr>
          <w:rStyle w:val="any"/>
          <w:rFonts w:ascii="PMingLiU" w:eastAsia="PMingLiU" w:hAnsi="PMingLiU" w:cs="PMingLiU"/>
          <w:spacing w:val="8"/>
        </w:rPr>
        <w:t>通过下调热休克因子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的表达促进肝细胞癌细胞凋亡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Liang et al 2018</w:t>
      </w:r>
      <w:r>
        <w:rPr>
          <w:rStyle w:val="any"/>
          <w:rFonts w:ascii="PMingLiU" w:eastAsia="PMingLiU" w:hAnsi="PMingLiU" w:cs="PMingLiU"/>
          <w:spacing w:val="8"/>
        </w:rPr>
        <w:t>）：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539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17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4G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6G</w:t>
      </w:r>
      <w:r>
        <w:rPr>
          <w:rStyle w:val="any"/>
          <w:rFonts w:ascii="PMingLiU" w:eastAsia="PMingLiU" w:hAnsi="PMingLiU" w:cs="PMingLiU"/>
          <w:spacing w:val="8"/>
        </w:rPr>
        <w:t>。作者能否对重复的条带发表评论？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976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53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Aphilanthops foxi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这篇论文是迄今为止发现的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100</w:t>
      </w:r>
      <w:r>
        <w:rPr>
          <w:rStyle w:val="any"/>
          <w:rFonts w:ascii="PMingLiU" w:eastAsia="PMingLiU" w:hAnsi="PMingLiU" w:cs="PMingLiU"/>
          <w:spacing w:val="8"/>
        </w:rPr>
        <w:t>多篇报告使用不适当引物扩增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U6 snRNA</w:t>
      </w:r>
      <w:r>
        <w:rPr>
          <w:rStyle w:val="any"/>
          <w:rFonts w:ascii="PMingLiU" w:eastAsia="PMingLiU" w:hAnsi="PMingLiU" w:cs="PMingLiU"/>
          <w:spacing w:val="8"/>
        </w:rPr>
        <w:t>（一种非编码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</w:t>
      </w:r>
      <w:r>
        <w:rPr>
          <w:rStyle w:val="any"/>
          <w:rFonts w:ascii="PMingLiU" w:eastAsia="PMingLiU" w:hAnsi="PMingLiU" w:cs="PMingLiU"/>
          <w:spacing w:val="8"/>
        </w:rPr>
        <w:t>，在定量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PCR </w:t>
      </w:r>
      <w:r>
        <w:rPr>
          <w:rStyle w:val="any"/>
          <w:rFonts w:ascii="PMingLiU" w:eastAsia="PMingLiU" w:hAnsi="PMingLiU" w:cs="PMingLiU"/>
          <w:spacing w:val="8"/>
        </w:rPr>
        <w:t>测定中通常被当作假定的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管家基因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）的文章之一。最常见的是，材料和方法部分列出的引物用于信使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LSM5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LSM6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SNRNP27</w:t>
      </w:r>
      <w:r>
        <w:rPr>
          <w:rStyle w:val="any"/>
          <w:rFonts w:ascii="PMingLiU" w:eastAsia="PMingLiU" w:hAnsi="PMingLiU" w:cs="PMingLiU"/>
          <w:spacing w:val="8"/>
        </w:rPr>
        <w:t>，而不是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U6</w:t>
      </w:r>
      <w:r>
        <w:rPr>
          <w:rStyle w:val="any"/>
          <w:rFonts w:ascii="PMingLiU" w:eastAsia="PMingLiU" w:hAnsi="PMingLiU" w:cs="PMingLiU"/>
          <w:spacing w:val="8"/>
        </w:rPr>
        <w:t>。此外，这些文章的特点是呈现了错误引物的相同序列，尽管没有发现共同的商业来源，也没有原始论文被普遍引用为错误序列的来源。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由于十多年来不同的研究小组极不可能独立地犯下完全相同的错误，将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snRNA U6 </w:t>
      </w:r>
      <w:r>
        <w:rPr>
          <w:rStyle w:val="any"/>
          <w:rFonts w:ascii="PMingLiU" w:eastAsia="PMingLiU" w:hAnsi="PMingLiU" w:cs="PMingLiU"/>
          <w:spacing w:val="8"/>
        </w:rPr>
        <w:t>与信使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</w:t>
      </w:r>
      <w:r>
        <w:rPr>
          <w:rStyle w:val="any"/>
          <w:rFonts w:ascii="PMingLiU" w:eastAsia="PMingLiU" w:hAnsi="PMingLiU" w:cs="PMingLiU"/>
          <w:spacing w:val="8"/>
        </w:rPr>
        <w:t>混淆，然后针对错误的目标设计完全相同的引物（每个目标可能有数百或数千个引物对），因此这些论文可能还有其他共同点。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我在该组的许多论文中观察到了以下一项或多项特征。请注意，并非所有论文都具有所有共同的特征，并且某些论文可能不具备此列表中的任何特征：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大多数论文描述了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lncRNA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circRNA </w:t>
      </w:r>
      <w:r>
        <w:rPr>
          <w:rStyle w:val="any"/>
          <w:rFonts w:ascii="PMingLiU" w:eastAsia="PMingLiU" w:hAnsi="PMingLiU" w:cs="PMingLiU"/>
          <w:spacing w:val="8"/>
        </w:rPr>
        <w:t>对特定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轴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或通路的调控。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许多论文除了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U6 </w:t>
      </w:r>
      <w:r>
        <w:rPr>
          <w:rStyle w:val="any"/>
          <w:rFonts w:ascii="PMingLiU" w:eastAsia="PMingLiU" w:hAnsi="PMingLiU" w:cs="PMingLiU"/>
          <w:spacing w:val="8"/>
        </w:rPr>
        <w:t>之外，针对其他目标的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qPCR </w:t>
      </w:r>
      <w:r>
        <w:rPr>
          <w:rStyle w:val="any"/>
          <w:rFonts w:ascii="PMingLiU" w:eastAsia="PMingLiU" w:hAnsi="PMingLiU" w:cs="PMingLiU"/>
          <w:spacing w:val="8"/>
        </w:rPr>
        <w:t>引物也存在问题。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许多与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相关的论文并没有描述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特异性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cDNA </w:t>
      </w:r>
      <w:r>
        <w:rPr>
          <w:rStyle w:val="any"/>
          <w:rFonts w:ascii="PMingLiU" w:eastAsia="PMingLiU" w:hAnsi="PMingLiU" w:cs="PMingLiU"/>
          <w:spacing w:val="8"/>
        </w:rPr>
        <w:t>生成步骤（这是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测量的必要前提），或者没有显示出对引物水平的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特异性检测存在混淆的证据。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许多论文仅仅选择一两个目标（如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的信使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</w:t>
      </w:r>
      <w:r>
        <w:rPr>
          <w:rStyle w:val="any"/>
          <w:rFonts w:ascii="PMingLiU" w:eastAsia="PMingLiU" w:hAnsi="PMingLiU" w:cs="PMingLiU"/>
          <w:spacing w:val="8"/>
        </w:rPr>
        <w:t>目标或环状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目标）进行研究，几乎没有或根本没有理由，即使预测软件包返回数百或数千种可能性。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有些论文难以置信地报道了在生物体和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或组织中测量和操纵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</w:t>
      </w:r>
      <w:r>
        <w:rPr>
          <w:rStyle w:val="any"/>
          <w:rFonts w:ascii="PMingLiU" w:eastAsia="PMingLiU" w:hAnsi="PMingLiU" w:cs="PMingLiU"/>
          <w:spacing w:val="8"/>
        </w:rPr>
        <w:t>，而实际上这些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 </w:t>
      </w:r>
      <w:r>
        <w:rPr>
          <w:rStyle w:val="any"/>
          <w:rFonts w:ascii="PMingLiU" w:eastAsia="PMingLiU" w:hAnsi="PMingLiU" w:cs="PMingLiU"/>
          <w:spacing w:val="8"/>
        </w:rPr>
        <w:t>并不存在。例如，在啮齿动物心脏中研究灵长类动物特异性或胎盘特异性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一些论文已被撤回，许多论文在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上都有与引物无关的评论，其中许多与明显的图像重复有关。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许多论文遵循一些人认为的可识别的图形模式和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或图形面板和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或方法和插图的常见应用。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6537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40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主编已撤回此文章。本文发表后，有人担心文章中的图像与之前发表的文章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[1] </w:t>
      </w:r>
      <w:r>
        <w:rPr>
          <w:rStyle w:val="any"/>
          <w:rFonts w:ascii="PMingLiU" w:eastAsia="PMingLiU" w:hAnsi="PMingLiU" w:cs="PMingLiU"/>
          <w:spacing w:val="8"/>
        </w:rPr>
        <w:t>相似。作者无法根据要求提供原始数据以供进一步验证。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因此，主编不再相信本研究提出的结果和结论。</w:t>
      </w:r>
    </w:p>
    <w:p>
      <w:pPr>
        <w:numPr>
          <w:ilvl w:val="0"/>
          <w:numId w:val="4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2F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6G </w:t>
      </w:r>
      <w:r>
        <w:rPr>
          <w:rStyle w:val="any"/>
          <w:rFonts w:ascii="PMingLiU" w:eastAsia="PMingLiU" w:hAnsi="PMingLiU" w:cs="PMingLiU"/>
          <w:spacing w:val="8"/>
        </w:rPr>
        <w:t>之间的相似之处；</w:t>
      </w:r>
    </w:p>
    <w:p>
      <w:pPr>
        <w:numPr>
          <w:ilvl w:val="0"/>
          <w:numId w:val="4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4F</w:t>
      </w:r>
      <w:r>
        <w:rPr>
          <w:rStyle w:val="any"/>
          <w:rFonts w:ascii="PMingLiU" w:eastAsia="PMingLiU" w:hAnsi="PMingLiU" w:cs="PMingLiU"/>
          <w:spacing w:val="8"/>
        </w:rPr>
        <w:t>之间的相似之处；</w:t>
      </w:r>
    </w:p>
    <w:p>
      <w:pPr>
        <w:numPr>
          <w:ilvl w:val="0"/>
          <w:numId w:val="4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3B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3F</w:t>
      </w:r>
      <w:r>
        <w:rPr>
          <w:rStyle w:val="any"/>
          <w:rFonts w:ascii="PMingLiU" w:eastAsia="PMingLiU" w:hAnsi="PMingLiU" w:cs="PMingLiU"/>
          <w:spacing w:val="8"/>
        </w:rPr>
        <w:t>之间的相似之处；</w:t>
      </w:r>
    </w:p>
    <w:p>
      <w:pPr>
        <w:numPr>
          <w:ilvl w:val="0"/>
          <w:numId w:val="4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4G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6G</w:t>
      </w:r>
      <w:r>
        <w:rPr>
          <w:rStyle w:val="any"/>
          <w:rFonts w:ascii="PMingLiU" w:eastAsia="PMingLiU" w:hAnsi="PMingLiU" w:cs="PMingLiU"/>
          <w:spacing w:val="8"/>
        </w:rPr>
        <w:t>之间的相似之处；</w:t>
      </w:r>
    </w:p>
    <w:p>
      <w:pPr>
        <w:numPr>
          <w:ilvl w:val="0"/>
          <w:numId w:val="4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3C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3G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中图</w:t>
      </w:r>
      <w:r>
        <w:rPr>
          <w:rStyle w:val="any"/>
          <w:rFonts w:ascii="Times New Roman" w:eastAsia="Times New Roman" w:hAnsi="Times New Roman" w:cs="Times New Roman"/>
          <w:spacing w:val="8"/>
        </w:rPr>
        <w:t>8A</w:t>
      </w:r>
      <w:r>
        <w:rPr>
          <w:rStyle w:val="any"/>
          <w:rFonts w:ascii="PMingLiU" w:eastAsia="PMingLiU" w:hAnsi="PMingLiU" w:cs="PMingLiU"/>
          <w:spacing w:val="8"/>
        </w:rPr>
        <w:t>的相似之处。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Bo Tang, Yi Zhan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Songqing He</w:t>
      </w:r>
      <w:r>
        <w:rPr>
          <w:rStyle w:val="any"/>
          <w:rFonts w:ascii="PMingLiU" w:eastAsia="PMingLiU" w:hAnsi="PMingLiU" w:cs="PMingLiU"/>
          <w:spacing w:val="8"/>
        </w:rPr>
        <w:t>同意撤回此文章。</w:t>
      </w:r>
      <w:r>
        <w:rPr>
          <w:rStyle w:val="any"/>
          <w:rFonts w:ascii="Times New Roman" w:eastAsia="Times New Roman" w:hAnsi="Times New Roman" w:cs="Times New Roman"/>
          <w:spacing w:val="8"/>
        </w:rPr>
        <w:t>Jun Song</w:t>
      </w:r>
      <w:r>
        <w:rPr>
          <w:rStyle w:val="any"/>
          <w:rFonts w:ascii="PMingLiU" w:eastAsia="PMingLiU" w:hAnsi="PMingLiU" w:cs="PMingLiU"/>
          <w:spacing w:val="8"/>
        </w:rPr>
        <w:t>未就此撤回向编辑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出版商做出回应。出版商无法找到李阳、余水平和苏慧昭的当前电子邮件地址。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</w:t>
      </w:r>
    </w:p>
    <w:p>
      <w:pPr>
        <w:numPr>
          <w:ilvl w:val="0"/>
          <w:numId w:val="5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[1] </w:t>
      </w:r>
      <w:r>
        <w:rPr>
          <w:rStyle w:val="any"/>
          <w:rFonts w:ascii="PMingLiU" w:eastAsia="PMingLiU" w:hAnsi="PMingLiU" w:cs="PMingLiU"/>
          <w:spacing w:val="8"/>
        </w:rPr>
        <w:t>撤回文章：</w:t>
      </w:r>
      <w:r>
        <w:rPr>
          <w:rStyle w:val="any"/>
          <w:rFonts w:ascii="Times New Roman" w:eastAsia="Times New Roman" w:hAnsi="Times New Roman" w:cs="Times New Roman"/>
          <w:spacing w:val="8"/>
        </w:rPr>
        <w:t>Tang, B., Li, Y., Yuan, S., Tomlinson, S., &amp; He, S. (2013)</w:t>
      </w:r>
      <w:r>
        <w:rPr>
          <w:rStyle w:val="any"/>
          <w:rFonts w:ascii="PMingLiU" w:eastAsia="PMingLiU" w:hAnsi="PMingLiU" w:cs="PMingLiU"/>
          <w:spacing w:val="8"/>
        </w:rPr>
        <w:t>。肝癌中</w:t>
      </w:r>
      <w:r>
        <w:rPr>
          <w:rStyle w:val="any"/>
          <w:rFonts w:ascii="Times New Roman" w:eastAsia="Times New Roman" w:hAnsi="Times New Roman" w:cs="Times New Roman"/>
          <w:spacing w:val="8"/>
        </w:rPr>
        <w:t>δ</w:t>
      </w:r>
      <w:r>
        <w:rPr>
          <w:rStyle w:val="any"/>
          <w:rFonts w:ascii="PMingLiU" w:eastAsia="PMingLiU" w:hAnsi="PMingLiU" w:cs="PMingLiU"/>
          <w:spacing w:val="8"/>
        </w:rPr>
        <w:t>阿片受体的上调在体外和体内均促进肝癌进展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Retraction in / 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https://doi.org/10.3892/ijo.2023.5504</w:t>
      </w:r>
      <w:r>
        <w:rPr>
          <w:rStyle w:val="any"/>
          <w:rFonts w:ascii="PMingLiU" w:eastAsia="PMingLiU" w:hAnsi="PMingLiU" w:cs="PMingLiU"/>
          <w:spacing w:val="8"/>
        </w:rPr>
        <w:t>。国际肿瘤学杂志，</w:t>
      </w:r>
      <w:r>
        <w:rPr>
          <w:rStyle w:val="any"/>
          <w:rFonts w:ascii="Times New Roman" w:eastAsia="Times New Roman" w:hAnsi="Times New Roman" w:cs="Times New Roman"/>
          <w:spacing w:val="8"/>
        </w:rPr>
        <w:t>43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1281–1290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https </w:t>
      </w:r>
      <w:r>
        <w:rPr>
          <w:rStyle w:val="any"/>
          <w:rFonts w:ascii="Times New Roman" w:eastAsia="Times New Roman" w:hAnsi="Times New Roman" w:cs="Times New Roman"/>
          <w:spacing w:val="8"/>
        </w:rPr>
        <w:t>://doi.org/10.3892/ijo.2013.2046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PubPeer </w:t>
      </w:r>
      <w:r>
        <w:rPr>
          <w:rStyle w:val="any"/>
          <w:rFonts w:ascii="PMingLiU" w:eastAsia="PMingLiU" w:hAnsi="PMingLiU" w:cs="PMingLiU"/>
          <w:spacing w:val="8"/>
        </w:rPr>
        <w:t>上的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条评论（作者：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291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09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https://pmc.ncbi.nlm.nih.gov/articles/PMC6381703/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https://pubpeer.com/publications/7DF6D68031DA70178C417D86FD8180#5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广西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gyODkzOQ==&amp;action=getalbum&amp;album_id=3909312541381591047" TargetMode="Externa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906&amp;idx=1&amp;sn=0c0150845c866c011043f1fa90300ec4&amp;chksm=c2d3d4249796cc64372339dd1a017a1b119485a74c772f954bda9126d78d813f3dfdf3b9d620&amp;scene=126&amp;sessionid=17426628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