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暨大附一院与南方医大口腔医院合作论文因图片重复遭审视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22:21:03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2020年3月，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暨南大学附属第一医院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南方医科大学口腔医院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联合在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International Journal of Nanomedicine（IF6.6002/2区）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发表4年多后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“Efficient miRNA Inhibitor Delivery with Graphene Oxide-Polyethylenimine to Inhibit Oral Squamous Cell Carcinoma”。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第一作者：暨南大学附属第一医院的Lingling 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通讯作者：暨南大学附属第一医院的Renfa Lai，南方医科大学口腔医院的Longquan Shao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国家自然科学基金（No. 81703120，中国北京）、广东省自然科学基金（No. 2017A030310365，中国广州）、广东省医学研究基金（A2016360，中国广州）资助。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49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25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39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038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45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https://pubpeer.com/publications/CCAF9CDCE1CBF5273B4011383F3A83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64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14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176&amp;idx=1&amp;sn=c20602c8c8040f0d18245edc1cf149bf&amp;chksm=c200e8ba9a870d477a4c14e68fec66dfe8d4ae74b57693b352442184f0eb3912b44fb13568dc&amp;scene=126&amp;sessionid=17427421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