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国医科大学附属第一医院肿瘤内科主任和副主任合作研究遭质疑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22:11:56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近日，发表于《British Journal of Cancer》期刊的研究‘AZ304, a novel dual BRAF inhibitor, exerts anti-tumour effects in colorectal cancer independently of BRAF genetic status’ 新型双重BRAF抑制剂AZ304在结直肠癌中发挥抗肿瘤作用且不依赖BRAF基因状态因实验图像问题引发质疑。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该研究由Rui Ma、Ling Xu、Xiujuan Qu（通讯作者，副主任）、Xiaofang Che、Ye Zhang、Yibo Fan、Ce Li、Tianshu Guo、Kezuo Hou、Xuejun Hu、Lisa Drew、Minhui Shen、Tony Cheung和Yunpeng Liu（通讯作者，科主任）共同完成，通讯单位为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中国医科大学附属第一医院肿瘤内科。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135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415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67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36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927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81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064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47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https://pubpeer.com/publications/37D31008B170D0522143296CEAE762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06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77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162&amp;idx=1&amp;sn=ea0ead179d3cfb263ffc4d1ae013ab5c&amp;chksm=c2afba69138b5e1c736c9b64eb9b9cfc031f36bb1c9991d5e2214da0f63249c3cf16371954fa&amp;scene=126&amp;sessionid=17427421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