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湖北某三甲医院乳腺癌论文遭质疑，流式散点图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21:50:08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2021年12月，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襄阳市第一人民医院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Bioengineered（IF4.1998 / 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发表3年多后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“Long non-coding RNA CASC7 suppresses malignant behaviors of breast cancer by regulating miR-21-5p/FASLG axis”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（长链非编码RNA CASC7通过调控miR-21-5p/FASLG轴抑制乳腺癌的恶性行为）。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第一作者兼通讯作者：襄阳市第一人民医院的Genjin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本研究共受5项基金支持：国家自然科学基金[资助号：81901567]；湖北省自然科学基金项目[资助号：2018CFB112]；湖北省教育厅自然科学基金项目[Q20202105]；湖北医科大学青年学者培养项目[资助号：2017QDJZR07]；湖北省十堰市科技计划项目[批准号：19Y03]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3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383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37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251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66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https://www.pubpeer.org/publications/4333931618EA752D59639F460D88DD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83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07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124&amp;idx=1&amp;sn=b07d392324ec0966d772e32a47da6ed3&amp;chksm=c20ca169c284076eed443de7bdbac6e4fb918bc87ac13315ac8596b2e7452415ca02ba71c531&amp;scene=126&amp;sessionid=1742663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