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87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72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07d41ef9c2078ea8bd8d1f9c50e0ce2a81afa4a6b46a8fd3d339126c7ac50302c57ab5f74d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