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多处图像与无关论文相似，广州医科大学附属第三医院张平的论文被撤稿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2025-03-22 13:42:59</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79190"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8951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日，广州医科大学附属第三医院骨科的</w:t>
      </w:r>
      <w:r>
        <w:rPr>
          <w:rStyle w:val="any"/>
          <w:rFonts w:ascii="Times New Roman" w:eastAsia="Times New Roman" w:hAnsi="Times New Roman" w:cs="Times New Roman"/>
          <w:color w:val="C84D0C"/>
          <w:spacing w:val="9"/>
          <w:sz w:val="21"/>
          <w:szCs w:val="21"/>
        </w:rPr>
        <w:t>Haotao Yu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Ping Zhang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张平）</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Orthopaedic Surgery and Research</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"High-mobility group box chromosomal protein-1 deletion alleviates osteoporosis in OVX rat model via suppressing the osteoclastogenesis and inflammation"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通过抑制破骨细胞生成和炎症，缺失高迁移率组染色体盒蛋白</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可减轻卵巢切除大鼠模型的骨质疏松症</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本研究得到了广东省科技发展专项基金（项目编号：</w:t>
      </w:r>
      <w:r>
        <w:rPr>
          <w:rStyle w:val="any"/>
          <w:rFonts w:ascii="Times New Roman" w:eastAsia="Times New Roman" w:hAnsi="Times New Roman" w:cs="Times New Roman"/>
          <w:spacing w:val="9"/>
          <w:sz w:val="21"/>
          <w:szCs w:val="21"/>
        </w:rPr>
        <w:t>2017ZC0255</w:t>
      </w:r>
      <w:r>
        <w:rPr>
          <w:rStyle w:val="any"/>
          <w:rFonts w:ascii="PMingLiU" w:eastAsia="PMingLiU" w:hAnsi="PMingLiU" w:cs="PMingLiU"/>
          <w:spacing w:val="9"/>
          <w:sz w:val="21"/>
          <w:szCs w:val="21"/>
        </w:rPr>
        <w:t>）的资助</w:t>
      </w:r>
      <w:r>
        <w:rPr>
          <w:rStyle w:val="any"/>
          <w:rFonts w:ascii="PMingLiU" w:eastAsia="PMingLiU" w:hAnsi="PMingLiU" w:cs="PMingLiU"/>
          <w:spacing w:val="9"/>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96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29951" name=""/>
                    <pic:cNvPicPr>
                      <a:picLocks noChangeAspect="1"/>
                    </pic:cNvPicPr>
                  </pic:nvPicPr>
                  <pic:blipFill>
                    <a:blip xmlns:r="http://schemas.openxmlformats.org/officeDocument/2006/relationships" r:embed="rId8"/>
                    <a:stretch>
                      <a:fillRect/>
                    </a:stretch>
                  </pic:blipFill>
                  <pic:spPr>
                    <a:xfrm>
                      <a:off x="0" y="0"/>
                      <a:ext cx="5486400" cy="464961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4"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69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5966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图5I与无关论文的WB印记重叠。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val="0"/>
          <w:bCs w:val="0"/>
          <w:i w:val="0"/>
          <w:iCs w:val="0"/>
          <w:spacing w:val="9"/>
          <w:sz w:val="21"/>
          <w:szCs w:val="21"/>
        </w:rPr>
        <w:t>[left] Fig 4F from "SIRT6 promotes ferroptosis and attenuates glycolysis in pancreatic cancer through regulation of the NF-κB pathway" (Gong et al 2022).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sz w:val="21"/>
          <w:szCs w:val="21"/>
        </w:rPr>
        <w:t>[right] Fig 5I.</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5643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57410" name=""/>
                    <pic:cNvPicPr>
                      <a:picLocks noChangeAspect="1"/>
                    </pic:cNvPicPr>
                  </pic:nvPicPr>
                  <pic:blipFill>
                    <a:blip xmlns:r="http://schemas.openxmlformats.org/officeDocument/2006/relationships" r:embed="rId10"/>
                    <a:stretch>
                      <a:fillRect/>
                    </a:stretch>
                  </pic:blipFill>
                  <pic:spPr>
                    <a:xfrm>
                      <a:off x="0" y="0"/>
                      <a:ext cx="5486400" cy="3556432"/>
                    </a:xfrm>
                    <a:prstGeom prst="rect">
                      <a:avLst/>
                    </a:prstGeom>
                  </pic:spPr>
                </pic:pic>
              </a:graphicData>
            </a:graphic>
          </wp:inline>
        </w:drawing>
      </w: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图3A与无关论文</w:t>
      </w:r>
      <w:r>
        <w:rPr>
          <w:rStyle w:val="any"/>
          <w:rFonts w:ascii="Microsoft YaHei UI" w:eastAsia="Microsoft YaHei UI" w:hAnsi="Microsoft YaHei UI" w:cs="Microsoft YaHei UI"/>
          <w:b/>
          <w:bCs/>
          <w:i w:val="0"/>
          <w:iCs w:val="0"/>
          <w:caps w:val="0"/>
          <w:color w:val="3E3E3E"/>
          <w:spacing w:val="9"/>
          <w:sz w:val="21"/>
          <w:szCs w:val="21"/>
        </w:rPr>
        <w:t>图像面板重叠。</w:t>
      </w:r>
      <w:r>
        <w:rPr>
          <w:rStyle w:val="any"/>
          <w:rFonts w:ascii="Microsoft YaHei UI" w:eastAsia="Microsoft YaHei UI" w:hAnsi="Microsoft YaHei UI" w:cs="Microsoft YaHei UI"/>
          <w:b w:val="0"/>
          <w:bCs w:val="0"/>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605589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65006" name=""/>
                    <pic:cNvPicPr>
                      <a:picLocks noChangeAspect="1"/>
                    </pic:cNvPicPr>
                  </pic:nvPicPr>
                  <pic:blipFill>
                    <a:blip xmlns:r="http://schemas.openxmlformats.org/officeDocument/2006/relationships" r:embed="rId11"/>
                    <a:stretch>
                      <a:fillRect/>
                    </a:stretch>
                  </pic:blipFill>
                  <pic:spPr>
                    <a:xfrm>
                      <a:off x="0" y="0"/>
                      <a:ext cx="5486400" cy="605589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'Sham' panels also overlap after a rotation.</w:t>
      </w:r>
    </w:p>
    <w:p>
      <w:pPr>
        <w:widowControl/>
        <w:shd w:val="clear" w:color="auto" w:fill="FFFFFF"/>
        <w:spacing w:before="0" w:after="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276190" cy="232381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73490" name=""/>
                    <pic:cNvPicPr>
                      <a:picLocks noChangeAspect="1"/>
                    </pic:cNvPicPr>
                  </pic:nvPicPr>
                  <pic:blipFill>
                    <a:blip xmlns:r="http://schemas.openxmlformats.org/officeDocument/2006/relationships" r:embed="rId12"/>
                    <a:stretch>
                      <a:fillRect/>
                    </a:stretch>
                  </pic:blipFill>
                  <pic:spPr>
                    <a:xfrm>
                      <a:off x="0" y="0"/>
                      <a:ext cx="5276190" cy="23238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shd w:val="clear" w:color="auto" w:fill="FFFFFF"/>
        <w:spacing w:before="0" w:after="0" w:line="384" w:lineRule="atLeast"/>
        <w:ind w:left="300" w:right="300"/>
        <w:rPr>
          <w:rStyle w:val="any"/>
          <w:rFonts w:ascii="Microsoft YaHei UI" w:eastAsia="Microsoft YaHei UI" w:hAnsi="Microsoft YaHei UI" w:cs="Microsoft YaHei UI"/>
          <w:spacing w:val="9"/>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67" w:right="31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图2D与两篇无关论文图像面板重叠。</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[above] Fig 3A.</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08"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pacing w:val="9"/>
          <w:sz w:val="21"/>
          <w:szCs w:val="21"/>
        </w:rPr>
        <w:t>[below] Fig 5b from "Enhancement of DUSP14 (dual specificity phosphatase 14) limits osteoarthritis progression by alleviating chondrocyte injury, inflammation and metabolic homeostasis" (Zhao et al 2021).</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00" w:right="300" w:firstLine="0"/>
        <w:jc w:val="both"/>
        <w:rPr>
          <w:rStyle w:val="any"/>
          <w:rFonts w:ascii="Microsoft YaHei UI" w:eastAsia="Microsoft YaHei UI" w:hAnsi="Microsoft YaHei UI" w:cs="Microsoft YaHei UI"/>
          <w:b w:val="0"/>
          <w:bCs w:val="0"/>
          <w:i w:val="0"/>
          <w:iCs w:val="0"/>
          <w:caps w:val="0"/>
          <w:spacing w:val="9"/>
          <w:sz w:val="26"/>
          <w:szCs w:val="26"/>
        </w:rPr>
      </w:pPr>
    </w:p>
    <w:p>
      <w:pPr>
        <w:widowControl/>
        <w:shd w:val="clear" w:color="auto" w:fill="FFFFFF"/>
        <w:spacing w:before="0" w:after="360" w:line="408" w:lineRule="atLeast"/>
        <w:ind w:left="300" w:right="300" w:firstLine="0"/>
        <w:jc w:val="center"/>
        <w:rPr>
          <w:rStyle w:val="any"/>
          <w:rFonts w:ascii="Microsoft YaHei UI" w:eastAsia="Microsoft YaHei UI" w:hAnsi="Microsoft YaHei UI" w:cs="Microsoft YaHei UI"/>
          <w:b w:val="0"/>
          <w:bCs w:val="0"/>
          <w:i w:val="0"/>
          <w:iCs w:val="0"/>
          <w:caps w:val="0"/>
          <w:spacing w:val="9"/>
          <w:sz w:val="26"/>
          <w:szCs w:val="26"/>
        </w:rPr>
      </w:pPr>
      <w:r>
        <w:rPr>
          <w:rStyle w:val="any"/>
          <w:rFonts w:ascii="Microsoft YaHei UI" w:eastAsia="Microsoft YaHei UI" w:hAnsi="Microsoft YaHei UI" w:cs="Microsoft YaHei UI"/>
          <w:b w:val="0"/>
          <w:bCs w:val="0"/>
          <w:i w:val="0"/>
          <w:iCs w:val="0"/>
          <w:caps w:val="0"/>
          <w:strike w:val="0"/>
          <w:spacing w:val="9"/>
          <w:sz w:val="26"/>
          <w:szCs w:val="26"/>
          <w:u w:val="none"/>
        </w:rPr>
        <w:drawing>
          <wp:inline>
            <wp:extent cx="5486400" cy="271330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68063" name=""/>
                    <pic:cNvPicPr>
                      <a:picLocks noChangeAspect="1"/>
                    </pic:cNvPicPr>
                  </pic:nvPicPr>
                  <pic:blipFill>
                    <a:blip xmlns:r="http://schemas.openxmlformats.org/officeDocument/2006/relationships" r:embed="rId13"/>
                    <a:stretch>
                      <a:fillRect/>
                    </a:stretch>
                  </pic:blipFill>
                  <pic:spPr>
                    <a:xfrm>
                      <a:off x="0" y="0"/>
                      <a:ext cx="5486400" cy="271330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9225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主编在对数据报告表示担忧后撤回了本文。具体而言：</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图2d中的β-肌动蛋白印迹与先前一篇无共同作者的出版物[1]中的图1k包含的一幅图像相似。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图3a中WT OVX的HE面板与先前一篇无共同作者的出版物[2]中的图5b包含的一幅图像相似。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图5i中的COI1A1和DLX2印迹与另一篇同时期发表的、无共同作者的出版物[3]中的图4f包含的两幅图像相似。</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出版商要求提供本文的原始数据时，作者未能提供。主编对本文的研究结果和结论不再抱有信心。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作者未对出版商关于撤回本文的来信作出回应。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Li J, He W, Wang Y, Zhao J, Zhao X. miR-103a-3p alleviates oxidative stress, apoptosis, and immune disorder in oxygen-glucose deprivation-treated BV2 microglial cells and rats with cerebral ischemia-reperfusion injury by targeting high mobility group box 1. Ann Transl Med 8 (2). 2020 https://doi.org/10.21037/atm-20-5856</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[2] </w:t>
      </w:r>
      <w:r>
        <w:rPr>
          <w:rStyle w:val="any"/>
          <w:rFonts w:ascii="Microsoft YaHei UI" w:eastAsia="Microsoft YaHei UI" w:hAnsi="Microsoft YaHei UI" w:cs="Microsoft YaHei UI"/>
          <w:b w:val="0"/>
          <w:bCs w:val="0"/>
          <w:i w:val="0"/>
          <w:iCs w:val="0"/>
          <w:color w:val="3E3E3E"/>
          <w:spacing w:val="9"/>
          <w:sz w:val="21"/>
          <w:szCs w:val="21"/>
        </w:rPr>
        <w:t>Zhao Z, Yang J, Zhang L, Zhou Y. Enhancement of DUSP14 (dual specificity phosphatase 14) limits osteoarthritis progression by alleviating chondrocyte injury, inflammation and metabolic homeostasis. Bioengineered 12 (1). 2021. https://doi.org/10.1080/21655979.2021.</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[3] </w:t>
      </w:r>
      <w:r>
        <w:rPr>
          <w:rStyle w:val="any"/>
          <w:rFonts w:ascii="Microsoft YaHei UI" w:eastAsia="Microsoft YaHei UI" w:hAnsi="Microsoft YaHei UI" w:cs="Microsoft YaHei UI"/>
          <w:b w:val="0"/>
          <w:bCs w:val="0"/>
          <w:i w:val="0"/>
          <w:iCs w:val="0"/>
          <w:color w:val="3E3E3E"/>
          <w:spacing w:val="9"/>
          <w:sz w:val="21"/>
          <w:szCs w:val="21"/>
        </w:rPr>
        <w:t>Gong S, Xiong L, Luo Z et al. Retracted article: SIRT6 promotes ferroptosis and attenuates glycolysis in pancreatic cancer through regulation of the NF κB pathway. Exp Ther Med 24 (502). 2022 </w:t>
      </w:r>
      <w:r>
        <w:rPr>
          <w:rStyle w:val="any"/>
          <w:rFonts w:ascii="Microsoft YaHei UI" w:eastAsia="Microsoft YaHei UI" w:hAnsi="Microsoft YaHei UI" w:cs="Microsoft YaHei UI"/>
          <w:b w:val="0"/>
          <w:bCs w:val="0"/>
          <w:i w:val="0"/>
          <w:iCs w:val="0"/>
          <w:color w:val="3E3E3E"/>
          <w:spacing w:val="9"/>
          <w:sz w:val="21"/>
          <w:szCs w:val="21"/>
        </w:rPr>
        <w:t>https://doi.org/10.3892/etm.2024.12751</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061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https://pubpeer.com/publications/9FE8B934B50803F43182EA46E66689#7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https://pubmed.ncbi.nlm.nih.gov/35414033/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https://josr-online.biomedcentral.com/articles/10.1186/s13018-025-05623-4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br/>
      </w:r>
    </w:p>
    <w:p>
      <w:pPr>
        <w:spacing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754&amp;idx=5&amp;sn=1b2e037ef399f8a8e9dec104f39bc4bd&amp;chksm=c1a4c17deef0acdb8bfd247557667a06e12f3f9a0f1b649de1d57da4fb128290e406df86ed8a&amp;scene=126&amp;sessionid=17426222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