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西南医科大学基础医学院院长吴建明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药学院教授王龙团队的论文图像存在重复！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73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04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7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2022年4月30日，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IF=58.7)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novel therapeutic strategy for leukopenia: Miltefosine activates the Ras/MEK/ERK pathway to promote neutrophil differentiation"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白细胞减少症的新型治疗策略：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米替福新激活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Ras/MEK/ERK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通路，促进中性粒细胞分化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Qinyao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Siyu He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 Wang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),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Jianming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吴建明）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82204666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82074129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81774013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82273889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）、四川省自然科学基金一般项目（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2024NSFSC0711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2023NSFSC0657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）、四川省科学技术计划联合创新项目（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2022YFS0635-B1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）、泸州市人民政府与西南医科大学联合项目（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2024LZXNYDJ030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）、四川省杰出青年基金项目（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2022JDJQ0061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）以及中国大学生创新创业训练计划（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202410632006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202210632031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202310632102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S202310632303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29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93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5" name="" descr="西南医科大学怎么样？好不好就业呢？就业前景好吗？ - 西南医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42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70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经过DataTwin检测，本文的图3C中存在部分重叠。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79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https://www.sciencedirect.com/science/article/abs/pii/S0006291X24017753?via%3Dihub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04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18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96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1&amp;sn=5e00e5b85ef1db85fc58c62573ce8995&amp;chksm=c34ab5d4c2e3e27def66590e1c79274973aa427d6db8f450f3d9925ed7879ca218e4b5f5eeb7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