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湖北某三甲医院乳腺癌论文遭质疑，流式散点图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21:50:08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2021年12月，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襄阳市第一人民医院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发表3年多后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“Long non-coding RNA CASC7 suppresses malignant behaviors of breast cancer by regulating miR-21-5p/FASLG axis”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（长链非编码RNA CASC7通过调控miR-21-5p/FASLG轴抑制乳腺癌的恶性行为）。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第一作者兼通讯作者：襄阳市第一人民医院的Genjin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本研究共受5项基金支持：国家自然科学基金[资助号：81901567]；湖北省自然科学基金项目[资助号：2018CFB112]；湖北省教育厅自然科学基金项目[Q20202105]；湖北医科大学青年学者培养项目[资助号：2017QDJZR07]；湖北省十堰市科技计划项目[批准号：19Y03]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1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83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79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51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2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https://www.pubpeer.org/publications/4333931618EA752D59639F460D88DD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27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8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124&amp;idx=1&amp;sn=b07d392324ec0966d772e32a47da6ed3&amp;chksm=c2e05ebe414e9a86a8e62e020bca49ad6fe337ebc799a46e3932311348a79ea77a4ebf3aaf87&amp;scene=126&amp;sessionid=1742651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