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宝藤医学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山东大学第二医院检验医学中心合作论文图像重复，背后原因几何？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Sirtuin 4 Depletion Promotes Hepatocellular Carcinoma Tumorigenesis Through Regulating Adenosine-Monophosphate-Activated Protein Kinase Alpha/Mammalian Target of Rapamycin Axis in Mice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山东大学第二医院检验医学中心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Yunshan Wang(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王允山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Lutao Du(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杜鲁涛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宝藤医学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上海张江转化医学研发中心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Bo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Hepatology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2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39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96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Wang et al.2020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505450" cy="18045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66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图5D、图6A分别与 Shen et al.2021 的图6D、图7B出现重复。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505450" cy="448395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0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992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62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 图8D与 Wang et al.2020 的图4A出现重复。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14067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39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 图4C与 Yao et al.2016 的图4F出现重复。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505450" cy="284031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00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图4F, 7E, 8E。相同的肿瘤被重新排列并拍摄了多次。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https://pubpeer.com/publications/164F447A0BE75E8A0CFE904B0E3022#4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https://pubmed.ncbi.nlm.nih.gov/30552782/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74&amp;idx=1&amp;sn=a89d28017164886e68202816cd8e1583&amp;chksm=c555978d2b3d461956fff54086cc8af44da63bf66663214e97f2fce39e9b9729c8ec704e04d8&amp;scene=126&amp;sessionid=17425778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