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细胞系不同，图像重叠？华东理工大学，上海龙华医院和上海市第十人民医院合作研究遭质疑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polypyrimidine tract-binding protein 3 induces apoptosis and cell cycle arrest, and enhances the cytotoxicity of 5-fluorouracil in gastric cancer cells’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抑制多嘧啶序列结合蛋白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诱导胃癌细胞凋亡和细胞周期阻滞，并增强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5-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氟尿嘧啶的细胞毒性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10.1038/bjc.2017.32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Xin Liang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Haiyang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Liyan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Cen Qiu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Shengchao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Yingxue Qi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华东理工大学药学院生物反应器工程国家重点实验室、上海市新药设计重点实验室，通讯作者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上海中医药大学附属龙华医院肿瘤科，通讯作者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同济大学医学院上海市第十人民医院普通外科。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39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：应该显示不同细胞系的蛋白质印迹之间意外地相似，我添加了粉色矩形来显示我的意思。请作者检查并发表评论？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8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https://pubpeer.com/publications/1700BF626EAE75771005B251C66951#1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6&amp;sn=8fe3a398810a9d456e0702fa3a8295ae&amp;chksm=c38b896240bc046205de1263ed51f10a18e46018675f044912c30ec559c5ab29d6c94808b0c0&amp;scene=126&amp;sessionid=1742614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710135150788444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