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1786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45984"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04067"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61088"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39447"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e57e633e889d77f97023777b6adb5fcbdd028eab30b3dd8152cccae821f92351744774e9ca&amp;scene=126&amp;sessionid=174257717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