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与早期无关论文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印迹以及细胞转染图高度相似，南方医科大学东莞妇幼保健院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花都区人民医院的论文被质疑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11:28:09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MicroRNA-146 attenuates lipopolysaccharide induced ovarian dysfunction by inhibiting the TLR4/NF- κB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期刊：Bioengineered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东莞市妇幼保健院&amp;南方医科大学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附属花都医院（花都区人民医院）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发表时间：2022年5月8日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10.1080/21655979.2022.2070584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260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314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22628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671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这项工作得到了广东省基础与应用基础研究区域联合基金重大项目（编号：2020B151200099）的支持。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的担忧：这些条带看起来过于笔直且裁剪得过于狭窄，显得不太真实。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50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026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的担忧：条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带没有背景，看起来像是在均匀背景上的黑色斑点。多个面板或条带与一篇早期发表的论文（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10.1590/1414-431X20209346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[RETRACTED]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中的条带非常相似，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有些条带被重新排列和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或以镜像形式呈现。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2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235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担忧：本文中所示的所有面板（上方部分）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与一片早期论文（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10.1155/2018/7163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057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的面板相匹配。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078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076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https://www.tandfonline.com/doi/full/10.1080/21655979.2022.2070584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05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481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774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257&amp;idx=4&amp;sn=97403b3ed29553d8eb37ee11e28877b1&amp;chksm=c2769fd9a11f33dae45a2ccfc654a45fb7837469a3b37756915841170aae3fc396ce310540aa&amp;scene=126&amp;sessionid=17425764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