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温州医科大学附属第二医院闫合德团队的论文存在图片重复，疑似图像不当操作！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06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1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47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2022年4月30日，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温州医科大学附属第二医院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Free Radical Biology and Medicine(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中科院二区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IF=7.1)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Melatonin promotes peripheral nerve repair through Parkin-mediated mitophagy"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褪黑激素通过以下途径促进周围神经修复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帕金介导的有丝分裂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第一作者：温州医科大学附属第二医院Baolong Li, Zhe Zhang, Hui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温州医科大学附属第二医院Hede Yan(音译 闫合德), Xijie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这项工作得到了浙江省温州市科技局的资助（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Y2020040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040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5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5" name="" descr="温医大附二院龙湾院区将在10月31日正式投入使用-新闻中心-温州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8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4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经过DataTwin检测，本文的图8H中存在部分重叠，疑似图像色彩和纵横比经过处理。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68512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64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85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https://www.sciencedirect.com/science/article/pii/S0891584922001691?via%3Dihub#sec5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7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87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4&amp;sn=06286dc683c3ff7c5bb5956c3622323d&amp;chksm=c3e261cd9d8a9ec2e031f5dbffbaf939dfcc6b6735dc9935a32d813bb3e6f1ac9a3209e87b98&amp;scene=126&amp;sessionid=17424893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