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兰州大学第一医院麻醉科主任国自然资助论文陷入争议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22:20:37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0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52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2023年，来自兰州大学第一医院麻醉科的 Zhanhai Wan , Yan Zhang , Jipeng Lv , Yuan Yuan , Wenwen Guo , Yufang Leng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Bioengineered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Exosomes derived from bone marrow mesenchymal stem cells regulate pyroptosis via the miR-143-3p/myeloid differentiation factor 88 axis to ameliorate intestinal ischemia-reperfusion injury 的论文。该工作得到了中国国家自然科学基金（项目编号 81960345）、甘肃省自然科学基金（项目编号 21JR11RA097）以及兰州大学第一医院基金（项目编号 ldyyyn2020 - 18）的支持。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02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3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77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https://pubpeer.org/publications/C56F3529F7DEB4B0496952CDCE25B7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93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89&amp;idx=1&amp;sn=0d56feb0fd743f03df62d1507d594ca8&amp;chksm=c236f67e74412a5fb713b2f7537f5a4b40b3f1add5f107b857098dcc4eac180edc566e619bd8&amp;scene=126&amp;sessionid=17425686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