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临沂市人民医院的文章被撤回，主要原因是不同文章间涉嫌图像的重复使用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2025-03-16 08:59:39</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076121"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尽管接受了多模式治疗，但胶质母细胞瘤 [也称为多形性胶质母细胞瘤 （GBM）] 患者的预后不佳。替莫唑胺化疗可能会在一段时间（几个月）内抑制肿瘤生长;然而，不变的肿瘤复发表明胶质母细胞瘤起始细胞 （GIC） 使这些肿瘤持续存在。因此，了解 GICs 的分子作用机制及其在 GBM 进展中的作用很重要，因为这些知识将有助于发现新的药物靶点，以及设计新的治疗策略以更有效地治疗该疾病。</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2017 年 9 月 7 日，临沂市人民医院的Cheng Zhen-Xiu等人在</w:t>
      </w:r>
      <w:r>
        <w:rPr>
          <w:rStyle w:val="any"/>
          <w:rFonts w:ascii="Microsoft YaHei UI" w:eastAsia="Microsoft YaHei UI" w:hAnsi="Microsoft YaHei UI" w:cs="Microsoft YaHei UI"/>
          <w:b/>
          <w:bCs/>
          <w:i/>
          <w:iCs/>
          <w:color w:val="222222"/>
          <w:spacing w:val="8"/>
          <w:sz w:val="23"/>
          <w:szCs w:val="23"/>
        </w:rPr>
        <w:t>International journal of molecular medicine</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MicroRNA-132 induces temozolomide resistance and promotes the formation of cancer stem cell phenotypes by targeting tumor suppressor candidate 3 in glioblastoma</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该研究结果表明，miR-132 通过靶向胶质母细胞瘤中的 TUSC3 诱导替莫唑胺耐药并促进癌症干细胞表型的形成。</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10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784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792264" name=""/>
                    <pic:cNvPicPr>
                      <a:picLocks noChangeAspect="1"/>
                    </pic:cNvPicPr>
                  </pic:nvPicPr>
                  <pic:blipFill>
                    <a:blip xmlns:r="http://schemas.openxmlformats.org/officeDocument/2006/relationships" r:embed="rId8"/>
                    <a:stretch>
                      <a:fillRect/>
                    </a:stretch>
                  </pic:blipFill>
                  <pic:spPr>
                    <a:xfrm>
                      <a:off x="0" y="0"/>
                      <a:ext cx="5486400" cy="2878466"/>
                    </a:xfrm>
                    <a:prstGeom prst="rect">
                      <a:avLst/>
                    </a:prstGeom>
                  </pic:spPr>
                </pic:pic>
              </a:graphicData>
            </a:graphic>
          </wp:inline>
        </w:drawing>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在这篇论文发表后，一位关心的读者提请编辑注意，第</w:t>
      </w:r>
      <w:r>
        <w:rPr>
          <w:rStyle w:val="any"/>
          <w:rFonts w:ascii="Times New Roman" w:eastAsia="Times New Roman" w:hAnsi="Times New Roman" w:cs="Times New Roman"/>
          <w:spacing w:val="8"/>
          <w:sz w:val="23"/>
          <w:szCs w:val="23"/>
        </w:rPr>
        <w:t xml:space="preserve"> 1312 </w:t>
      </w:r>
      <w:r>
        <w:rPr>
          <w:rStyle w:val="any"/>
          <w:rFonts w:ascii="PMingLiU" w:eastAsia="PMingLiU" w:hAnsi="PMingLiU" w:cs="PMingLiU"/>
          <w:spacing w:val="8"/>
          <w:sz w:val="23"/>
          <w:szCs w:val="23"/>
        </w:rPr>
        <w:t>页图</w:t>
      </w:r>
      <w:r>
        <w:rPr>
          <w:rStyle w:val="any"/>
          <w:rFonts w:ascii="Times New Roman" w:eastAsia="Times New Roman" w:hAnsi="Times New Roman" w:cs="Times New Roman"/>
          <w:spacing w:val="8"/>
          <w:sz w:val="23"/>
          <w:szCs w:val="23"/>
        </w:rPr>
        <w:t xml:space="preserve"> 5C </w:t>
      </w:r>
      <w:r>
        <w:rPr>
          <w:rStyle w:val="any"/>
          <w:rFonts w:ascii="PMingLiU" w:eastAsia="PMingLiU" w:hAnsi="PMingLiU" w:cs="PMingLiU"/>
          <w:spacing w:val="8"/>
          <w:sz w:val="23"/>
          <w:szCs w:val="23"/>
        </w:rPr>
        <w:t>所示的克隆形成琼脂测定数据与不同研究机构的不同作者撰写的另一篇文章中以不同形式出现的数据惊人地相似，该文章在本文提交给国际分子医学杂志之前已经发表在《</w:t>
      </w:r>
      <w:r>
        <w:rPr>
          <w:rStyle w:val="any"/>
          <w:rFonts w:ascii="Times New Roman" w:eastAsia="Times New Roman" w:hAnsi="Times New Roman" w:cs="Times New Roman"/>
          <w:spacing w:val="8"/>
          <w:sz w:val="23"/>
          <w:szCs w:val="23"/>
        </w:rPr>
        <w:t>Oncotarget</w:t>
      </w:r>
      <w:r>
        <w:rPr>
          <w:rStyle w:val="any"/>
          <w:rFonts w:ascii="PMingLiU" w:eastAsia="PMingLiU" w:hAnsi="PMingLiU" w:cs="PMingLiU"/>
          <w:spacing w:val="8"/>
          <w:sz w:val="23"/>
          <w:szCs w:val="23"/>
        </w:rPr>
        <w:t>》杂志上。鉴于上述数据显然已经发表过，《国际分子医学杂志》的编辑决定从该杂志上撤回这篇论文。</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作者被要求解释这些担忧，但编辑部没有收到回复。对于由此造成的任何不便，编辑向读者道歉。</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40" w:lineRule="atLeast"/>
        <w:ind w:left="540" w:right="540"/>
        <w:rPr>
          <w:rStyle w:val="any"/>
          <w:rFonts w:ascii="Microsoft YaHei UI" w:eastAsia="Microsoft YaHei UI" w:hAnsi="Microsoft YaHei UI" w:cs="Microsoft YaHei UI"/>
          <w:spacing w:val="9"/>
          <w:sz w:val="15"/>
          <w:szCs w:val="15"/>
        </w:rPr>
      </w:pPr>
      <w:r>
        <w:rPr>
          <w:rStyle w:val="any"/>
          <w:rFonts w:ascii="Microsoft YaHei UI" w:eastAsia="Microsoft YaHei UI" w:hAnsi="Microsoft YaHei UI" w:cs="Microsoft YaHei UI"/>
          <w:spacing w:val="9"/>
          <w:sz w:val="18"/>
          <w:szCs w:val="18"/>
        </w:rPr>
        <w:t>https://www.spandidos-publications.com/10.3892/ijmm.2025.5517</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989368"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918627"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1997&amp;idx=4&amp;sn=e75a0b993301353cd081d113b72b9a6a&amp;chksm=cfcc83ac9aaa3154e93995c3ac2a00c4c7b885afbf936ca17e9809355453021a104f9945717a&amp;scene=126&amp;sessionid=1742490926"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