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EPR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数据存疑，期刊编辑对数据可信度失去信任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河南科技大学医学技术与工程学院第一附属医院论文研究遭撤稿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09:30:52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Biological Macromolecules (2024)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"Cu2O–SnO2-PDA heterozygous nanozyme doped hydrogel mediated conglutinant microenvironment regulation for wound healing therapy“Cu2O–SnO2-PDA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杂合纳米酶掺杂水凝胶介导的粘性微环境调节用于伤口愈合治疗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10.1016/j.ijbiomac.2024.135852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Sedum alexanderi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与其他论文之间存在多处重复。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该论文由来自河南科技大学医学技术与工程学院第一附属医院；中国科学院青海盐湖研究所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,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青海省盐湖地质与环境重点实验室；海南医学院第一附属医院急救创伤学院创面修复科；西安交通大学第一附属医院放射肿瘤科、胸外科第二科的作者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Jinghua Li , Pengshan Guo , Shegan Gao , Jianping Wang , Ji Cheng , Wenxuan Fan , Xiaoran Liu , Xiaozhi Zhang , Kun Lei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Jinghua Li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河南科技大学医学技术与工程学院第一附属医院，中国科学院青海盐湖研究所，西安交通大学第一附属医院放射肿瘤科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4433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00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Jinghua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感谢您的细心检查和提醒，我们已提交了</w:t>
      </w:r>
      <w:r>
        <w:rPr>
          <w:rStyle w:val="any"/>
          <w:rFonts w:ascii="Times New Roman" w:eastAsia="Times New Roman" w:hAnsi="Times New Roman" w:cs="Times New Roman"/>
          <w:spacing w:val="8"/>
        </w:rPr>
        <w:t>“Cu2O-SnO2-PDA</w:t>
      </w:r>
      <w:r>
        <w:rPr>
          <w:rStyle w:val="any"/>
          <w:rFonts w:ascii="PMingLiU" w:eastAsia="PMingLiU" w:hAnsi="PMingLiU" w:cs="PMingLiU"/>
          <w:spacing w:val="8"/>
        </w:rPr>
        <w:t>杂合纳米酶掺杂水凝胶介导的黏附微环境调控用于伤口愈合治疗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280(3)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135852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https://doi.org/10.1016/j.ijbiomac.2024.135852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IJBIOMAC-D-24-23138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三元分级花状</w:t>
      </w:r>
      <w:r>
        <w:rPr>
          <w:rStyle w:val="any"/>
          <w:rFonts w:ascii="Times New Roman" w:eastAsia="Times New Roman" w:hAnsi="Times New Roman" w:cs="Times New Roman"/>
          <w:spacing w:val="8"/>
        </w:rPr>
        <w:t>PtCuTe</w:t>
      </w:r>
      <w:r>
        <w:rPr>
          <w:rStyle w:val="any"/>
          <w:rFonts w:ascii="PMingLiU" w:eastAsia="PMingLiU" w:hAnsi="PMingLiU" w:cs="PMingLiU"/>
          <w:spacing w:val="8"/>
        </w:rPr>
        <w:t>纳米片介导的光芬顿催化用于染料污染物降解、分离和纯化技术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357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130143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https://doi.org/10.1016/j.seppur.2024.130143</w:t>
      </w:r>
      <w:r>
        <w:rPr>
          <w:rStyle w:val="any"/>
          <w:rFonts w:ascii="PMingLiU" w:eastAsia="PMingLiU" w:hAnsi="PMingLiU" w:cs="PMingLiU"/>
          <w:spacing w:val="8"/>
        </w:rPr>
        <w:t>的相关勘误表材料，塞普尔</w:t>
      </w:r>
      <w:r>
        <w:rPr>
          <w:rStyle w:val="any"/>
          <w:rFonts w:ascii="Times New Roman" w:eastAsia="Times New Roman" w:hAnsi="Times New Roman" w:cs="Times New Roman"/>
          <w:spacing w:val="8"/>
        </w:rPr>
        <w:t>-D-24-10157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其他残卷也需尽快批改。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再次感谢您，期待您的回复。</w:t>
      </w:r>
      <w:r>
        <w:rPr>
          <w:rStyle w:val="any"/>
          <w:rFonts w:ascii="Times New Roman" w:eastAsia="Times New Roman" w:hAnsi="Times New Roman" w:cs="Times New Roman"/>
          <w:spacing w:val="8"/>
        </w:rPr>
        <w:t>Jinghua Li anubiss1860@163.com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5951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21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Sedum alexanderi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在不同条件下，本研究的一个光谱（</w:t>
      </w:r>
      <w:r>
        <w:rPr>
          <w:rStyle w:val="any"/>
          <w:rFonts w:ascii="Times New Roman" w:eastAsia="Times New Roman" w:hAnsi="Times New Roman" w:cs="Times New Roman"/>
          <w:spacing w:val="8"/>
        </w:rPr>
        <w:t>DOI: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https://doi.org/10.1016/j.ijbiomac.2024.135852) </w:t>
      </w:r>
      <w:r>
        <w:rPr>
          <w:rStyle w:val="any"/>
          <w:rFonts w:ascii="PMingLiU" w:eastAsia="PMingLiU" w:hAnsi="PMingLiU" w:cs="PMingLiU"/>
          <w:spacing w:val="8"/>
        </w:rPr>
        <w:t>）与另一项研究（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Times New Roman" w:eastAsia="Times New Roman" w:hAnsi="Times New Roman" w:cs="Times New Roman"/>
          <w:spacing w:val="8"/>
        </w:rPr>
        <w:t>DOI: https://doi.org/10.1016/j.seppur.2024.130143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））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完全一致，希望作者能够检查并给出解释。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82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51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Jinghua Li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，感谢您的细心检查和提醒，我们已经提交了以下论文的相关勘误信息，包括：</w:t>
      </w:r>
      <w:r>
        <w:rPr>
          <w:rStyle w:val="any"/>
          <w:rFonts w:ascii="Times New Roman" w:eastAsia="Times New Roman" w:hAnsi="Times New Roman" w:cs="Times New Roman"/>
          <w:spacing w:val="8"/>
        </w:rPr>
        <w:t>1.</w:t>
      </w:r>
      <w:r>
        <w:rPr>
          <w:rStyle w:val="any"/>
          <w:rFonts w:ascii="PMingLiU" w:eastAsia="PMingLiU" w:hAnsi="PMingLiU" w:cs="PMingLiU"/>
          <w:spacing w:val="8"/>
        </w:rPr>
        <w:t>凹面章鱼状</w:t>
      </w:r>
      <w:r>
        <w:rPr>
          <w:rStyle w:val="any"/>
          <w:rFonts w:ascii="Times New Roman" w:eastAsia="Times New Roman" w:hAnsi="Times New Roman" w:cs="Times New Roman"/>
          <w:spacing w:val="8"/>
        </w:rPr>
        <w:t>PtCu</w:t>
      </w:r>
      <w:r>
        <w:rPr>
          <w:rStyle w:val="any"/>
          <w:rFonts w:ascii="PMingLiU" w:eastAsia="PMingLiU" w:hAnsi="PMingLiU" w:cs="PMingLiU"/>
          <w:spacing w:val="8"/>
        </w:rPr>
        <w:t>纳米框架介导的光电</w:t>
      </w:r>
      <w:r>
        <w:rPr>
          <w:rStyle w:val="any"/>
          <w:rFonts w:ascii="Times New Roman" w:eastAsia="Times New Roman" w:hAnsi="Times New Roman" w:cs="Times New Roman"/>
          <w:spacing w:val="8"/>
        </w:rPr>
        <w:t>Fenton</w:t>
      </w:r>
      <w:r>
        <w:rPr>
          <w:rStyle w:val="any"/>
          <w:rFonts w:ascii="PMingLiU" w:eastAsia="PMingLiU" w:hAnsi="PMingLiU" w:cs="PMingLiU"/>
          <w:spacing w:val="8"/>
        </w:rPr>
        <w:t>催化快速消除有机染料</w:t>
      </w:r>
      <w:r>
        <w:rPr>
          <w:rStyle w:val="any"/>
          <w:rFonts w:ascii="Times New Roman" w:eastAsia="Times New Roman" w:hAnsi="Times New Roman" w:cs="Times New Roman"/>
          <w:spacing w:val="8"/>
        </w:rPr>
        <w:t>2.Cu2O-SnO2-PDA</w:t>
      </w:r>
      <w:r>
        <w:rPr>
          <w:rStyle w:val="any"/>
          <w:rFonts w:ascii="PMingLiU" w:eastAsia="PMingLiU" w:hAnsi="PMingLiU" w:cs="PMingLiU"/>
          <w:spacing w:val="8"/>
        </w:rPr>
        <w:t>杂合纳米酶掺杂水凝胶介导的粘合微环境调节用于伤口愈合治疗</w:t>
      </w: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凹面章鱼状</w:t>
      </w:r>
      <w:r>
        <w:rPr>
          <w:rStyle w:val="any"/>
          <w:rFonts w:ascii="Times New Roman" w:eastAsia="Times New Roman" w:hAnsi="Times New Roman" w:cs="Times New Roman"/>
          <w:spacing w:val="8"/>
        </w:rPr>
        <w:t>PtCu</w:t>
      </w:r>
      <w:r>
        <w:rPr>
          <w:rStyle w:val="any"/>
          <w:rFonts w:ascii="PMingLiU" w:eastAsia="PMingLiU" w:hAnsi="PMingLiU" w:cs="PMingLiU"/>
          <w:spacing w:val="8"/>
        </w:rPr>
        <w:t>纳米框架介导的光电</w:t>
      </w:r>
      <w:r>
        <w:rPr>
          <w:rStyle w:val="any"/>
          <w:rFonts w:ascii="Times New Roman" w:eastAsia="Times New Roman" w:hAnsi="Times New Roman" w:cs="Times New Roman"/>
          <w:spacing w:val="8"/>
        </w:rPr>
        <w:t>Fenton</w:t>
      </w:r>
      <w:r>
        <w:rPr>
          <w:rStyle w:val="any"/>
          <w:rFonts w:ascii="PMingLiU" w:eastAsia="PMingLiU" w:hAnsi="PMingLiU" w:cs="PMingLiU"/>
          <w:spacing w:val="8"/>
        </w:rPr>
        <w:t>催化快速消除有机染料</w:t>
      </w:r>
      <w:r>
        <w:rPr>
          <w:rStyle w:val="any"/>
          <w:rFonts w:ascii="Times New Roman" w:eastAsia="Times New Roman" w:hAnsi="Times New Roman" w:cs="Times New Roman"/>
          <w:spacing w:val="8"/>
        </w:rPr>
        <w:t>4.</w:t>
      </w:r>
      <w:r>
        <w:rPr>
          <w:rStyle w:val="any"/>
          <w:rFonts w:ascii="PMingLiU" w:eastAsia="PMingLiU" w:hAnsi="PMingLiU" w:cs="PMingLiU"/>
          <w:spacing w:val="8"/>
        </w:rPr>
        <w:t>三元分级花状</w:t>
      </w:r>
      <w:r>
        <w:rPr>
          <w:rStyle w:val="any"/>
          <w:rFonts w:ascii="Times New Roman" w:eastAsia="Times New Roman" w:hAnsi="Times New Roman" w:cs="Times New Roman"/>
          <w:spacing w:val="8"/>
        </w:rPr>
        <w:t>PtCuTe</w:t>
      </w:r>
      <w:r>
        <w:rPr>
          <w:rStyle w:val="any"/>
          <w:rFonts w:ascii="PMingLiU" w:eastAsia="PMingLiU" w:hAnsi="PMingLiU" w:cs="PMingLiU"/>
          <w:spacing w:val="8"/>
        </w:rPr>
        <w:t>纳米片介导的光</w:t>
      </w:r>
      <w:r>
        <w:rPr>
          <w:rStyle w:val="any"/>
          <w:rFonts w:ascii="Times New Roman" w:eastAsia="Times New Roman" w:hAnsi="Times New Roman" w:cs="Times New Roman"/>
          <w:spacing w:val="8"/>
        </w:rPr>
        <w:t>Fenton</w:t>
      </w:r>
      <w:r>
        <w:rPr>
          <w:rStyle w:val="any"/>
          <w:rFonts w:ascii="PMingLiU" w:eastAsia="PMingLiU" w:hAnsi="PMingLiU" w:cs="PMingLiU"/>
          <w:spacing w:val="8"/>
        </w:rPr>
        <w:t>催化降解染料污染物</w:t>
      </w:r>
      <w:r>
        <w:rPr>
          <w:rStyle w:val="any"/>
          <w:rFonts w:ascii="Times New Roman" w:eastAsia="Times New Roman" w:hAnsi="Times New Roman" w:cs="Times New Roman"/>
          <w:spacing w:val="8"/>
        </w:rPr>
        <w:t>5.</w:t>
      </w:r>
      <w:r>
        <w:rPr>
          <w:rStyle w:val="any"/>
          <w:rFonts w:ascii="PMingLiU" w:eastAsia="PMingLiU" w:hAnsi="PMingLiU" w:cs="PMingLiU"/>
          <w:spacing w:val="8"/>
        </w:rPr>
        <w:t>非均相</w:t>
      </w:r>
      <w:r>
        <w:rPr>
          <w:rStyle w:val="any"/>
          <w:rFonts w:ascii="Times New Roman" w:eastAsia="Times New Roman" w:hAnsi="Times New Roman" w:cs="Times New Roman"/>
          <w:spacing w:val="8"/>
        </w:rPr>
        <w:t>Cu–Sn-PPy</w:t>
      </w:r>
      <w:r>
        <w:rPr>
          <w:rStyle w:val="any"/>
          <w:rFonts w:ascii="PMingLiU" w:eastAsia="PMingLiU" w:hAnsi="PMingLiU" w:cs="PMingLiU"/>
          <w:spacing w:val="8"/>
        </w:rPr>
        <w:t>介导的协同光</w:t>
      </w:r>
      <w:r>
        <w:rPr>
          <w:rStyle w:val="any"/>
          <w:rFonts w:ascii="Times New Roman" w:eastAsia="Times New Roman" w:hAnsi="Times New Roman" w:cs="Times New Roman"/>
          <w:spacing w:val="8"/>
        </w:rPr>
        <w:t>Fenton</w:t>
      </w:r>
      <w:r>
        <w:rPr>
          <w:rStyle w:val="any"/>
          <w:rFonts w:ascii="PMingLiU" w:eastAsia="PMingLiU" w:hAnsi="PMingLiU" w:cs="PMingLiU"/>
          <w:spacing w:val="8"/>
        </w:rPr>
        <w:t>和光热催化用于染料消除</w:t>
      </w:r>
      <w:r>
        <w:rPr>
          <w:rStyle w:val="any"/>
          <w:rFonts w:ascii="Times New Roman" w:eastAsia="Times New Roman" w:hAnsi="Times New Roman" w:cs="Times New Roman"/>
          <w:spacing w:val="8"/>
        </w:rPr>
        <w:t>6.</w:t>
      </w:r>
      <w:r>
        <w:rPr>
          <w:rStyle w:val="any"/>
          <w:rFonts w:ascii="PMingLiU" w:eastAsia="PMingLiU" w:hAnsi="PMingLiU" w:cs="PMingLiU"/>
          <w:spacing w:val="8"/>
        </w:rPr>
        <w:t>非均相合金</w:t>
      </w:r>
      <w:r>
        <w:rPr>
          <w:rStyle w:val="any"/>
          <w:rFonts w:ascii="Times New Roman" w:eastAsia="Times New Roman" w:hAnsi="Times New Roman" w:cs="Times New Roman"/>
          <w:spacing w:val="8"/>
        </w:rPr>
        <w:t>CuSnO-DopaCube</w:t>
      </w:r>
      <w:r>
        <w:rPr>
          <w:rStyle w:val="any"/>
          <w:rFonts w:ascii="PMingLiU" w:eastAsia="PMingLiU" w:hAnsi="PMingLiU" w:cs="PMingLiU"/>
          <w:spacing w:val="8"/>
        </w:rPr>
        <w:t>介导的光</w:t>
      </w:r>
      <w:r>
        <w:rPr>
          <w:rStyle w:val="any"/>
          <w:rFonts w:ascii="Times New Roman" w:eastAsia="Times New Roman" w:hAnsi="Times New Roman" w:cs="Times New Roman"/>
          <w:spacing w:val="8"/>
        </w:rPr>
        <w:t>Fenton</w:t>
      </w:r>
      <w:r>
        <w:rPr>
          <w:rStyle w:val="any"/>
          <w:rFonts w:ascii="PMingLiU" w:eastAsia="PMingLiU" w:hAnsi="PMingLiU" w:cs="PMingLiU"/>
          <w:spacing w:val="8"/>
        </w:rPr>
        <w:t>和光热协同催化染料消除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7. Cu2O@SnO2@PDA </w:t>
      </w:r>
      <w:r>
        <w:rPr>
          <w:rStyle w:val="any"/>
          <w:rFonts w:ascii="PMingLiU" w:eastAsia="PMingLiU" w:hAnsi="PMingLiU" w:cs="PMingLiU"/>
          <w:spacing w:val="8"/>
        </w:rPr>
        <w:t>立方异质结构催化剂促进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Fenton </w:t>
      </w:r>
      <w:r>
        <w:rPr>
          <w:rStyle w:val="any"/>
          <w:rFonts w:ascii="PMingLiU" w:eastAsia="PMingLiU" w:hAnsi="PMingLiU" w:cs="PMingLiU"/>
          <w:spacing w:val="8"/>
        </w:rPr>
        <w:t>光热降解亚甲基蓝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剩余论文将在补充数据后进行修改。其实经过认真校对和自我批评，大部分论文并不存在重复的情况，只是因为同一样品的检测结果非常接近，所以光谱波形非常接近。但相关结果影响了作者的阅读体验，我们将对本文提到的所有论文进行更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618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32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，这个问题您在之前的报告中已经提出，相关勘误工作已经完成，请不要重复宣传和一而再再而三地报告。我们也希望中国国内公众不要一而再再而三地重复宣传。非常感谢。再次感谢您，期待您的回复。</w:t>
      </w:r>
      <w:r>
        <w:rPr>
          <w:rStyle w:val="any"/>
          <w:rFonts w:ascii="Times New Roman" w:eastAsia="Times New Roman" w:hAnsi="Times New Roman" w:cs="Times New Roman"/>
          <w:spacing w:val="8"/>
        </w:rPr>
        <w:t>Jinghua Li </w:t>
      </w:r>
      <w:r>
        <w:rPr>
          <w:rStyle w:val="any"/>
          <w:rFonts w:ascii="Times New Roman" w:eastAsia="Times New Roman" w:hAnsi="Times New Roman" w:cs="Times New Roman"/>
          <w:spacing w:val="8"/>
        </w:rPr>
        <w:t>anubiss1860@163.com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499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47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Cacatua leadbeateri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，除了可能重复之前的报道外，这项研究与许多其他研究有着令人难以置信的、看似完全一致的光谱。我们希望作者能检查一下这个问题。为了方便描述和比较，其他研究只是简单地编号。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723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95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89727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81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727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389478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80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947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01250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72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Jinghua Li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上做出回复：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勘误表已完成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618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83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应主编的要求，本文已被撤回。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有人对文章的科学内容表示担忧，特别是图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EPR </w:t>
      </w:r>
      <w:r>
        <w:rPr>
          <w:rStyle w:val="any"/>
          <w:rFonts w:ascii="PMingLiU" w:eastAsia="PMingLiU" w:hAnsi="PMingLiU" w:cs="PMingLiU"/>
          <w:spacing w:val="8"/>
        </w:rPr>
        <w:t>检测峰值与其他几篇已发表文章中的峰值相似。编辑们联系了作者，要求他们做出解释，而作者提供了图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6D </w:t>
      </w:r>
      <w:r>
        <w:rPr>
          <w:rStyle w:val="any"/>
          <w:rFonts w:ascii="PMingLiU" w:eastAsia="PMingLiU" w:hAnsi="PMingLiU" w:cs="PMingLiU"/>
          <w:spacing w:val="8"/>
        </w:rPr>
        <w:t>的新数据，这些数据与原始提交的数据不同。根据作者的回复，编辑们对所呈现的数据失去了信任。因此，主编决定撤回该文章。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8859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79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Rhipidura albiventris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致谢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本研究得到国家自然科学基金（批准号：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32260237</w:t>
      </w:r>
      <w:r>
        <w:rPr>
          <w:rStyle w:val="any"/>
          <w:rFonts w:ascii="PMingLiU" w:eastAsia="PMingLiU" w:hAnsi="PMingLiU" w:cs="PMingLiU"/>
          <w:spacing w:val="8"/>
        </w:rPr>
        <w:t>）、中原地区拔尖青年人才项目（批准号：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ZYQNBJRC2021-02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222103810047</w:t>
      </w:r>
      <w:r>
        <w:rPr>
          <w:rStyle w:val="any"/>
          <w:rFonts w:ascii="PMingLiU" w:eastAsia="PMingLiU" w:hAnsi="PMingLiU" w:cs="PMingLiU"/>
          <w:spacing w:val="8"/>
        </w:rPr>
        <w:t>）、海南省自然科学基金（批准号：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823MS045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2019RC375</w:t>
      </w:r>
      <w:r>
        <w:rPr>
          <w:rStyle w:val="any"/>
          <w:rFonts w:ascii="PMingLiU" w:eastAsia="PMingLiU" w:hAnsi="PMingLiU" w:cs="PMingLiU"/>
          <w:spacing w:val="8"/>
        </w:rPr>
        <w:t>）、河南省高校重点科研项目（批准号：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22A320033</w:t>
      </w:r>
      <w:r>
        <w:rPr>
          <w:rStyle w:val="any"/>
          <w:rFonts w:ascii="PMingLiU" w:eastAsia="PMingLiU" w:hAnsi="PMingLiU" w:cs="PMingLiU"/>
          <w:spacing w:val="8"/>
        </w:rPr>
        <w:t>）、海南省高等教育教学改革研究项目（批准号：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Hnjg2024ZD-36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Hnjg2024-80</w:t>
      </w:r>
      <w:r>
        <w:rPr>
          <w:rStyle w:val="any"/>
          <w:rFonts w:ascii="PMingLiU" w:eastAsia="PMingLiU" w:hAnsi="PMingLiU" w:cs="PMingLiU"/>
          <w:spacing w:val="8"/>
        </w:rPr>
        <w:t>）、盐湖资源综合开发利用项目（批准号：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2023ZXKYA05100</w:t>
      </w:r>
      <w:r>
        <w:rPr>
          <w:rStyle w:val="any"/>
          <w:rFonts w:ascii="PMingLiU" w:eastAsia="PMingLiU" w:hAnsi="PMingLiU" w:cs="PMingLiU"/>
          <w:spacing w:val="8"/>
        </w:rPr>
        <w:t>）、青海省科技厅创新团队基金（批准号：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2022-ZJ-903</w:t>
      </w:r>
      <w:r>
        <w:rPr>
          <w:rStyle w:val="any"/>
          <w:rFonts w:ascii="PMingLiU" w:eastAsia="PMingLiU" w:hAnsi="PMingLiU" w:cs="PMingLiU"/>
          <w:spacing w:val="8"/>
        </w:rPr>
        <w:t>）和第二次青藏高原科学考察项目的资助。与研究计划（批准号：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2019QZKK0805-02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15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https://www.sciencedirect.com/science/article/pii/S0141813024066613?via%3Dihub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https://pubpeer.com/publications/F447BDC3FB6B422AA6477FB32091E7#9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837&amp;idx=3&amp;sn=0c023eb10dcdba0973a70a0bc0abb081&amp;chksm=c21e89181c5728261c91cba70bb8429d21dc2d97905a2b82e8a02894c921264b315e18b94e38&amp;scene=126&amp;sessionid=17424894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