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上海两家知名单位携手成果陷争议，论文细胞染色图重复引质疑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23:02:31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2019年1月，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上海市第十人民医院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上海交通大学医学院附属上海儿童医学中心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联合在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Carcinogenesis（IF3.3/3区）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期刊上发表了一篇论文。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在发表6年后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图片与早期论文图片重复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“O-GlcNAcylation of YY1 stimulates tumorigenesis in colorectal cancer cells by targeting SLC22A15 and AANAT”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 YY1的o - glcn酰化通过靶向SLC22A15和AANAT刺激结直肠癌细胞的肿瘤发生）。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第一作者：上海市第十人民医院的Guoqing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通讯作者：上海市第十人民医院的Jiayi Wang、Fenyong Sun，上海交通大学医学院附属上海儿童医学中心的Qiuhui Pan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该研究获得了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国家自然科学基金资助项目（81672332、81371913、81572330、81472624、81472124）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上海交通大学医学院优秀青年教师项目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资助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647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387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119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73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566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26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https://www.pubpeer.org/publications/8D0951B4E2BB49AD550644E5786343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88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80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077&amp;idx=1&amp;sn=68241d7de658f2b8775fcced597d2217&amp;chksm=c2132f55cb8e59beeb6df113c2580db24785297c5ebd09e4547375df4aed166d7b4de21dc764&amp;scene=126&amp;sessionid=17425723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