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41962"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0797"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17410"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28575"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27664"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f1bea710837aa82f45571ac40986708eb267679c15591a6e4291c500a6e5903467a44542ad&amp;scene=126&amp;sessionid=17424911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