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南方医科大学深圳医院麻醉科某主任论文被质疑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20:33:10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南方医科大学深圳医院麻醉科，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广东医科大学附属医院麻醉科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Oxidative Medicine and Cellular Longevity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2020年2月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Bcl-2 Proteins Regulate Mitophagy in Lipopolysaccharide-Induced Acute Lung Injury via PINK1/Parkin Signaling Pathway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10.1155/2020/6579696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Zhihao Zhang , Zhugui Chen , Ruimeng Liu , Qingchun Liang , Zhiyong Peng , Shuang Yin ,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Jing Tang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（通讯作者，音译唐靖）, Ting Gong （通讯作者，音译龚婷）, Youtan Liu （通讯作者，音译刘友坦）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7778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93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08283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13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本研究得到了中国国家自然科学基金（81670075）和南方医科大学深圳医院研究基金（8167010880）的支持。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9887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675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57800" cy="58293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29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https://pubpeer.com/publications/0D5F94705C020E0AB3252B3D91E35A#1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4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568&amp;idx=1&amp;sn=d70ee13758b663e5102eac79a47fab42&amp;chksm=c2295b725cf6d42f2987e6ac71e60e33e34cb50886220c3e860dceda513a8e27706d67059629&amp;scene=126&amp;sessionid=17424912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