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重庆医科大学某知名专家的论文被质疑！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重庆医科大学临床检验诊断学教育部重点实验室</w:t>
      </w:r>
      <w:r>
        <w:rPr>
          <w:rStyle w:val="any"/>
          <w:color w:val="000000"/>
          <w:spacing w:val="8"/>
          <w:lang w:val="en-US" w:eastAsia="en-US"/>
        </w:rPr>
        <w:t>Chunli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与重庆医科大学附属第一医院泌尿科</w:t>
      </w:r>
      <w:r>
        <w:rPr>
          <w:rStyle w:val="any"/>
          <w:color w:val="000000"/>
          <w:spacing w:val="8"/>
          <w:lang w:val="en-US" w:eastAsia="en-US"/>
        </w:rPr>
        <w:t>Xiaohou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上发表一篇研究论文，研究发现了长非编码</w:t>
      </w:r>
      <w:r>
        <w:rPr>
          <w:rStyle w:val="any"/>
          <w:color w:val="000000"/>
          <w:spacing w:val="8"/>
          <w:lang w:val="en-US" w:eastAsia="en-US"/>
        </w:rPr>
        <w:t>RNA HOTAIR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</w:t>
      </w:r>
      <w:r>
        <w:rPr>
          <w:rStyle w:val="any"/>
          <w:color w:val="000000"/>
          <w:spacing w:val="8"/>
          <w:lang w:val="en-US" w:eastAsia="en-US"/>
        </w:rPr>
        <w:t>hepaCAM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调节前列腺癌症侵袭转移。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Long noncoding RNA HOTAIR regulates the invasion and metastasis of prostate cancer by targeting hepaCAM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Ting Li , Nanjing Liu , Yingying Gao , Zhen Quan , Yanni Hao , Chaowen Yu , Luo Li , Mengjuan Yuan , Lingfang Niu , </w:t>
      </w:r>
      <w:r>
        <w:rPr>
          <w:rStyle w:val="any"/>
          <w:color w:val="000000"/>
          <w:spacing w:val="8"/>
          <w:lang w:val="en-US" w:eastAsia="en-US"/>
        </w:rPr>
        <w:t>Chunli Luo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（通讯作者，音译，罗春丽）</w:t>
      </w:r>
      <w:r>
        <w:rPr>
          <w:rStyle w:val="any"/>
          <w:color w:val="000000"/>
          <w:spacing w:val="8"/>
          <w:lang w:val="en-US" w:eastAsia="en-US"/>
        </w:rPr>
        <w:t>, Xiaohou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（通讯作者，音译，吴小候）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重庆医科大学临床检验诊断学教育部重点实验室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重庆医科大学附属第一医院泌尿科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29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：图之间意外的重叠区域。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我添加了彩色形状和黑色箭头来显示我的意思。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10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54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https://pubpeer.com/publications/346DC18039F0CFAE6BC7EE5B653A35/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75&amp;idx=1&amp;sn=24db7615913c3247f005d7a72fd1a45f&amp;chksm=c16b550ccc221ca1dce8b1be93fdb254ab720568d5c4f0be11715f605157373af07048a14157&amp;scene=126&amp;sessionid=1742531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