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现场？山东省立医院血液科科主任研究遭质疑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13:24:11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‘Overexpression of IL-9 induced by STAT3 phosphorylation is mediated by miR-155 and miR-21 in chronic lymphocytic leukemia’ STAT3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磷酸化诱导的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IL-9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过表达由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介导于慢性淋巴细胞白血病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10.3892/or.2018.6367</w:t>
      </w:r>
      <w:r>
        <w:rPr>
          <w:rStyle w:val="any"/>
          <w:rFonts w:ascii="PMingLiU" w:eastAsia="PMingLiU" w:hAnsi="PMingLiU" w:cs="PMingLiU"/>
          <w:spacing w:val="8"/>
        </w:rPr>
        <w:t>）因实验图像问题引发争议。该研究由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Na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Lili Feng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Huiting Qu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Peipei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Lv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（通讯作者，科主任、山东大学临床医学院院长）共同完成，通讯单位为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山东省立医院血液科。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</w:rPr>
        <w:t>标记为不同蛋白质的相同面板（红色框）：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92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面板与同一作者之前论文中的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7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12&amp;idx=1&amp;sn=d392721c8f3834c245999f9cdf5a3b17&amp;chksm=c3da17f2cd7c129118a02a8fbc2fdca5072bfe5b97da6f4c357dc87ef197ada8862aa821c35d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595126442659021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