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重磅！基金委关注，广西医科大学附属肿瘤医院副院长论文被关注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00:06:03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Management and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Oct 2:10:4125-4134.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10.2147/CMAR.S176536.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：意外的重复图像。我添加了彩色形状来显示我的意思。请作者核实并发表意见？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9339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9664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76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https://pubmed.ncbi.nlm.nih.gov/30323668/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85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朱小东，中共党员，医学博士，二级教授，主任医师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 </w:t>
      </w:r>
      <w:r>
        <w:rPr>
          <w:rStyle w:val="any"/>
          <w:rFonts w:ascii="PMingLiU" w:eastAsia="PMingLiU" w:hAnsi="PMingLiU" w:cs="PMingLiU"/>
          <w:spacing w:val="8"/>
        </w:rPr>
        <w:t>博士生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硕士生导师。现任广西医科大学附属肿瘤医院副院长、广西壮族自治区肿瘤防治研究所副所长、广西壮族自治区肿瘤医院副院长、广西医科大学肿瘤医学院副院长。医院放射治疗学科首席专家。曾在中国医科院肿瘤医院放疗科、日本国立熊本病院及熊本大学医学部附属病院放射线科研修。长期从事鼻咽癌、肝癌放射治疗基础与临床研究，先后主持国家自然科学基金资助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项、国家科技支撑计划子课题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项、国家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十二五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重大新药创制专项子课题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项、广西科学基金资助项目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项、厅级资助课题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项。先后荣获广西科学技术特别贡献奖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项，广西科技进步奖二等奖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项，上海市科技进步奖二等奖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项，中华医学科技奖三等奖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项，厅级二等奖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项、三等奖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项。以第一作者或通讯作者在国内外专业杂志发表学术论文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160</w:t>
      </w:r>
      <w:r>
        <w:rPr>
          <w:rStyle w:val="any"/>
          <w:rFonts w:ascii="PMingLiU" w:eastAsia="PMingLiU" w:hAnsi="PMingLiU" w:cs="PMingLiU"/>
          <w:spacing w:val="8"/>
        </w:rPr>
        <w:t>余篇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余篇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。主编专著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部、卫生部视听教材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部，参编专著、国家级规划教材或住院医师规范化培训教材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本。获第八届广西青年科技奖，入选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广西新世纪十百千人才工程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第二层次人选，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年获广西壮族自治区优秀专家称号。先后荣获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十一五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广西医药卫生科技工作先进个人、广西医科大学先进教育工作者及优秀教师、全区德技双謦好医生等荣誉称号。已培养肿瘤学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放射治疗方向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博士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21</w:t>
      </w:r>
      <w:r>
        <w:rPr>
          <w:rStyle w:val="any"/>
          <w:rFonts w:ascii="PMingLiU" w:eastAsia="PMingLiU" w:hAnsi="PMingLiU" w:cs="PMingLiU"/>
          <w:spacing w:val="8"/>
        </w:rPr>
        <w:t>名，硕士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57</w:t>
      </w:r>
      <w:r>
        <w:rPr>
          <w:rStyle w:val="any"/>
          <w:rFonts w:ascii="PMingLiU" w:eastAsia="PMingLiU" w:hAnsi="PMingLiU" w:cs="PMingLiU"/>
          <w:spacing w:val="8"/>
        </w:rPr>
        <w:t>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https://pubpeer.com/publications/E1C8F45CA971C367B9206EC08765CD#2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8&amp;idx=4&amp;sn=0c2018146aefb7c29f8b3f1e72db5ef9&amp;chksm=c34397877ed0b68c69dde68184c951ea424a0c56d201d799c6aa4a027d914fba03b9321753a8&amp;scene=126&amp;sessionid=17424910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