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同期刊同一年发表，两篇（论文标题也有点意思）不同机构论文多处面板重叠，涉及东南大学医学院中大医院、南京大学、伊犁师范大学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Tailor-made PL-UC-C3 nanoparticles 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for fluorescence/computed tomography imaging-guided cascade amplified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 photothermal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东南大学医学院中大医院&amp;南京大学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10.2147/IJN.S188169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63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60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1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60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81572109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Tailor-made PEG-DA-CuS nanoparticles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 enriched in tumor with the aid of retro Diels-Alder reaction triggered by their intrinsic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  <w:u w:val="single" w:color="9A3030"/>
        </w:rPr>
        <w:t> photothermal property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伊犁师范大学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发表时间：2018年7月23日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10.2147/IJN.S169189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8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06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63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27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21764015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11464047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31360613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）、自治区青年科技创新人才培养项目（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QN2016YX0504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）以及伊犁师范学院校级重点项目（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2016WNZD02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2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8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中部分小鼠看起来过于相似。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197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2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包含一处意外相似的图像面板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2152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06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https://www.dovepress.com/tailor-made-pl-uc-c3-nanoparticles-for-fluorescencecomputed-tomography-peer-reviewed-fulltext-article-IJN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https://www.dovepress.com/tailor-made-peg-da-cus-nanoparticles-enriched-in-tumor-with-the-aid-of-peer-reviewed-fulltext-article-IJN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076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74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62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1&amp;sn=1304a38c282305e5f6cfd2fb441ca5e2&amp;chksm=c2b656497825954943ca562a75f433b70c6047e0cc5d8859f7c554f58ef708484738f970a4e5&amp;scene=126&amp;sessionid=17424897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