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多图面板重复，上海第十人民医院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武汉同济医院的论文被质疑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NR1B2 suppress kidney renal clear cell carcinoma (KIRC) progression by regulation of LATS 1/2-YAP signaling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Experimental and Clinical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上海市同济大学附属第十人民医院&amp;华中科技大学同济医学院附属同济医院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发表时间：2019年8月7日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10.1186/s13046-019-1344-3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493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13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943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37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这项工作得到了中国国家自然科学基金（资助号：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31670772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81870517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81500534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）、上海市自然科学基金（资助号：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18140900302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）、中国高等教育博士学位授权点专项科研基金（编号：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20130142120072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）以及华中科技大学创新基金（编号：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1802030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共存在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83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72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969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06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895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06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238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59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https://jeccr.biomedcentral.com/articles/10.1186/s13046-019-1344-3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15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0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56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413&amp;idx=3&amp;sn=59bf8770808e3dc6ce6ebea588e13b4c&amp;chksm=c2dcd8aeaa17bcecbe6c27f6cfb0c9456885399ed6fb37571007d73599da4576e69e4a4c0ad3&amp;scene=126&amp;sessionid=17424897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