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与早期无关论文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印迹以及细胞转染图高度相似，南方医科大学东莞妇幼保健院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花都区人民医院的论文被质疑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MicroRNA-146 attenuates lipopolysaccharide induced ovarian dysfunction by inhibiting the TLR4/NF- κB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东莞市妇幼保健院&amp;南方医科大学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附属花都医院（花都区人民医院）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10.1080/21655979.2022.2070584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60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84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262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26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这项工作得到了广东省基础与应用基础研究区域联合基金重大项目（编号：2020B151200099）的支持。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的担忧：这些条带看起来过于笔直且裁剪得过于狭窄，显得不太真实。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49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的担忧：条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带没有背景，看起来像是在均匀背景上的黑色斑点。多个面板或条带与一篇早期发表的论文（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10.1590/1414-431X20209346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[RETRACTED]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中的条带非常相似，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有些条带被重新排列和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或以镜像形式呈现。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2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23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担忧：本文中所示的所有面板（上方部分）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与一片早期论文（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10.1155/2018/7163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057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的面板相匹配。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07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14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https://www.tandfonline.com/doi/full/10.1080/21655979.2022.2070584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74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03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91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4&amp;sn=97403b3ed29553d8eb37ee11e28877b1&amp;chksm=c2689aafea5d3ceea28cff5c826c8cda23181158befc70d7aaf98b4304fdcdb50c187eefa059&amp;scene=126&amp;sessionid=17424897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