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6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34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28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4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516dbcf7ad0561affe2f6fdb0a31e361640c20b083841aea603d8f5d2a69e0fad2f4803b6e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