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苏州大学国家级青年人才论文亮相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子刊后，被指多处图片重叠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15:10:51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4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50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2019年，来自苏州大学功能纳米与软物质研究院的Jiali Tang , Binbin Chu , Jinhua Wang , Bin Song , Yuanyuan Su , Houyu Wang （通讯作者） , Yao He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Multifunctional nanoagents for ultrasensitive imaging and photoactive killing of Gram-negative and Gram-positive bacteria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我们感谢以下机构的资金支持：中国国家基础研究计划（2013CB934400）、中国国家自然科学基金（21825402、31400860、21575096 和 21605109）、中国江苏省自然科学基金（编号 BK20170061）、江苏省高等教育机构优先学术项目发展资助项目（PAPD）、“111 计划”以及苏州纳米科技协同创新中心（NANO-CIC）。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4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40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1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01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9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48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https://pubpeer.com/publications/C6777047A6AB126D09E663072862FD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25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363&amp;idx=1&amp;sn=c80d8191637817e7b39d381d5253de57&amp;chksm=c2b423e87720c6e88de3e3b581f955f346c6b7006be277d5b683fc3782192456c59c4014ea8f&amp;scene=126&amp;sessionid=17424023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