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12:48:55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日浙江省人民医院李亚清团队在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Oncology Letters 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“Lentivirus-mediated silencing of HOTAIR lncRNA restores gefitinib sensitivity by activating Bax/Caspase-3 and suppressing TGF-α/EGFR signaling in lung adenocarcinoma”</w:t>
      </w:r>
      <w:r>
        <w:rPr>
          <w:rStyle w:val="any"/>
          <w:rFonts w:ascii="PMingLiU" w:eastAsia="PMingLiU" w:hAnsi="PMingLiU" w:cs="PMingLiU"/>
          <w:spacing w:val="8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60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放大前的图片）。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50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4C-2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4C-3</w:t>
      </w:r>
      <w:r>
        <w:rPr>
          <w:rStyle w:val="any"/>
          <w:rFonts w:ascii="PMingLiU" w:eastAsia="PMingLiU" w:hAnsi="PMingLiU" w:cs="PMingLiU"/>
          <w:spacing w:val="8"/>
        </w:rPr>
        <w:t>出现部分重叠，但代表不同的试验结果。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5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86&amp;idx=1&amp;sn=2937347eec02998d6ca52f3064aab091&amp;chksm=c2e7efdd8568b460110ee26d376da8521eea834bb5e1f69baf9decc2c9363d65e112047bc714&amp;scene=126&amp;sessionid=174240422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