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吉林大学中日联谊医院携手吉林大学论文却遭读者质疑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吉林大学中日联谊医院(白求恩第三医院)、吉林大学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Bioengineered（IF 4.1998/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“LncRNA growth arrest specific transcript 5 inhibits the growth of pituitary neuroendocrine tumors via miR-27a-5p/cylindromatosis axis”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（LncRNA生长抑制特异性转录本5通过miR-27a-5p/圆柱状瘤病轴抑制垂体神经内分泌肿瘤的生长）。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第一作者：吉林大学的Heyuan Wang, Haotian Wang, 吉林大学中日联谊医院(白求恩第三医院) Bing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通讯作者：吉林大学的Zhonghui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本研究共受2项基金支持：吉林省科技厅，吉林省自然科学基金（20200201033JC）吉林省卫生健康委员会基金（2019J013）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6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0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86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7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5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62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https://pubpeer.com/publications/5FE2B859EB75838652B16CDFC2DA2A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10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02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63&amp;idx=1&amp;sn=2e181d39235e93861d0e0e6ae0322b7a&amp;chksm=c2e91df6505bce2c5d23a00b973cb796a04df125e23f25ad782d31638966759560662cc582ef&amp;scene=126&amp;sessionid=17424339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