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Lu Shi&amp;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解放军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95890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医院药理教研室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Lei Xu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的论文被撤稿，因流式细胞术数据与早期发表论文数据高度相似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Functions of endothelin-1 in apoptosis and migration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期刊：Experimental and Therapeutic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北中医药大学&amp;广州中医药大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学&amp;解放军95890医院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发表时间：2017年4月6日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10.3892/etm.2017.4314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图3D中所示的部分流式细胞术检测数据，与另一篇由不同研究机构的作者撰写并已提交至其他期刊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发表的不同形式的数据惊人地相似。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3177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71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与一篇已撤稿论文论文（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10.3892/mmr.2016.5127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的流式细胞术图存在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重叠面板。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09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00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8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55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本文发表后，一位细心的读者向编辑指出，第3120页图3D中所示的部分流式细胞术检测数据，与另一篇由不同研究机构的作者撰写并已提交至《Molecular Medicine Reports》期刊（该文章在本文被《Experimental and Therapeutic Medicine》接收前已提交，且随后已被撤回）发表的不同形式的数据惊人地相似。鉴于上述数据在本文被《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Experimental and Therapeutic Medicine》接收前已提交发表，编辑决定撤回本文。编辑曾要求作者对此疑虑进行解释，但编辑部未收到回复。编辑对因此给读者带来的不便表示歉意。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图3D中所示的部分流式细胞术检测数据，与另一篇由不同研究机构的作者撰写并已提交至《Molecular Medicine Reports》期刊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发表的不同形式的数据惊人地相似。</w:t>
      </w: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0"/>
          <w:szCs w:val="20"/>
        </w:rPr>
        <w:t>https://www.spandidos-publications.com/10.3892/etm.2025.12841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54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700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78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299&amp;idx=3&amp;sn=4f92e7204e99dfd6361aa1ce09d6d703&amp;chksm=c290311a5d56db1380ea0d0cd74d126599b2321b4f007a987f2d2ee5b597452e4475dad90fcc&amp;scene=126&amp;sessionid=17424028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