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惊爆！爱思唯尔《碳水化合物聚合物》，前主编策略造假黑幕曝光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19:30:47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594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095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近日，一位年轻调查者（化名为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Archasia 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belfragei</w:t>
      </w:r>
      <w:r>
        <w:rPr>
          <w:rStyle w:val="any"/>
          <w:rFonts w:ascii="PMingLiU" w:eastAsia="PMingLiU" w:hAnsi="PMingLiU" w:cs="PMingLiU"/>
          <w:spacing w:val="8"/>
        </w:rPr>
        <w:t>）对爱思唯尔旗下的《碳水化合物聚合物》期刊展开了深入调查。该期刊专注于聚合物科学，涵盖多糖在多个领域的研究与开发。从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2010 </w:t>
      </w:r>
      <w:r>
        <w:rPr>
          <w:rStyle w:val="any"/>
          <w:rFonts w:ascii="PMingLiU" w:eastAsia="PMingLiU" w:hAnsi="PMingLiU" w:cs="PMingLiU"/>
          <w:spacing w:val="8"/>
        </w:rPr>
        <w:t>年到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年，其发表论文数量急剧增长，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年更是有望创下新高。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17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375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调查发现，《碳水化合物聚合物》与另外两本爱思唯尔旗下期刊《民族药理学杂志》《国际生物大分子杂志》在内容上重叠严重。其中，《民族药理学杂志》因接受熊胆粉研究等饱受诟病。而《国际生物大分子杂志》的主编与《碳水化合物聚合物》颇有渊源。值得一提的是，《碳水化合物聚合物》的前主编肯尼迪曾宣布一系列造假出版物的策略，然而却被指自己也使用论文工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在这三本期刊中，《碳水化合物聚合物》影响因子最高，开放获取出版收费也最高。研究表明，这三个平台的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科学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成果在内容和作者上存在显著重叠，该期刊的编辑监督、勤勉和诚信程度令人质疑。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此次调查揭示了爱思唯尔旗下期刊存在的诸多问题，引发了人们对学术出版业不正当现象的关注，有望推动行业变革。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72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69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04&amp;idx=2&amp;sn=fd1a3332769a379401f45cdd1d639c79&amp;chksm=8e713358634fca16a83aa745c574250de2dffeb6ff8974846e8797af9d2c25a7ac3beceffe82&amp;scene=126&amp;sessionid=17423160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