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Cells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论文被撤稿，网友不解，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读者回复两篇不同文章免疫组化图片重复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87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62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38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95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2015 年 2 月 17 日，大连医科大学附属第一医院脊柱外科等研究人员在《Mol Cells》杂志上发表了一篇名为 “Overexpression of Long Non - Coding RNA HOTAIR Promotes Tumor Growth and Metastasis in Human Osteosarcoma” 的研究。该研究指出长链非编码 RNA HOTAIR 的过表达会促进人类骨肉瘤的肿瘤生长和转移，这一成果对于理解骨肉瘤的发病机制及治疗有重要意义，杂志的影响因子为 3.7Q2 。然而，4 年后，即 2020 年 10 月 31 日，应论文通讯作者请求，并在其他作者同意下，该文章被撤回，通讯作者等对撤回可能造成的不便表示诚挚歉意。有网友评论文章内容相似度比预期高，也有网友关注文章被撤回的原因。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2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31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02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https://pubmed.ncbi.nlm.nih.gov/25728753/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https://pubpeer.com/publications/7E6D33E06C76BA2C4F6FB68CC446A6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276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23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5&amp;sn=3cfa9b7cb1b4745bd43d5cbaf1436bd5&amp;chksm=8e151e0ab408c1754cf2707c8b60076dd96895f9aaa6285948d54f210f42784dcf0e83295591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