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西南林业大学材料科学与工程学院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生命科学学院该研究涉嫌数据操纵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10:54:39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2969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43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2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Preparation of Acid- and Alkali-Modified Biochar for Removal of Methylene Blue Pigment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ACS Omega (2020)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33324799  doi: 10.1021/acsomega.0c03688  issn: 2470-1343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Can Liu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Wendong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Rui Wu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Yun Liu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Xu Lin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26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Huan Kan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Yunwu Zheng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PMingLiU" w:eastAsia="PMingLiU" w:hAnsi="PMingLiU" w:cs="PMingLiU"/>
          <w:b/>
          <w:bCs/>
          <w:i/>
          <w:iCs/>
          <w:spacing w:val="8"/>
        </w:rPr>
        <w:t>兰博迪亚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</w:rPr>
        <w:t>·</w:t>
      </w:r>
      <w:r>
        <w:rPr>
          <w:rStyle w:val="any"/>
          <w:rFonts w:ascii="PMingLiU" w:eastAsia="PMingLiU" w:hAnsi="PMingLiU" w:cs="PMingLiU"/>
          <w:b/>
          <w:bCs/>
          <w:i/>
          <w:iCs/>
          <w:spacing w:val="8"/>
        </w:rPr>
        <w:t>埃勒本斯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评论已于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月接受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这里我们报告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10.1021/acsomega.0c03688 </w:t>
      </w:r>
      <w:r>
        <w:rPr>
          <w:rStyle w:val="any"/>
          <w:rFonts w:ascii="PMingLiU" w:eastAsia="PMingLiU" w:hAnsi="PMingLiU" w:cs="PMingLiU"/>
          <w:spacing w:val="8"/>
        </w:rPr>
        <w:t>的一些异常数据：（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</w:t>
      </w:r>
      <w:r>
        <w:rPr>
          <w:rStyle w:val="any"/>
          <w:rFonts w:ascii="PMingLiU" w:eastAsia="PMingLiU" w:hAnsi="PMingLiU" w:cs="PMingLiU"/>
          <w:spacing w:val="8"/>
        </w:rPr>
        <w:t>：粉线和绿线大部分相同。（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中的一个数据（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ZnCl2 </w:t>
      </w:r>
      <w:r>
        <w:rPr>
          <w:rStyle w:val="any"/>
          <w:rFonts w:ascii="PMingLiU" w:eastAsia="PMingLiU" w:hAnsi="PMingLiU" w:cs="PMingLiU"/>
          <w:spacing w:val="8"/>
        </w:rPr>
        <w:t>样品的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C2 </w:t>
      </w:r>
      <w:r>
        <w:rPr>
          <w:rStyle w:val="any"/>
          <w:rFonts w:ascii="PMingLiU" w:eastAsia="PMingLiU" w:hAnsi="PMingLiU" w:cs="PMingLiU"/>
          <w:spacing w:val="8"/>
        </w:rPr>
        <w:t>峰位置）和表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中的一个数据（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H3PO4 </w:t>
      </w:r>
      <w:r>
        <w:rPr>
          <w:rStyle w:val="any"/>
          <w:rFonts w:ascii="PMingLiU" w:eastAsia="PMingLiU" w:hAnsi="PMingLiU" w:cs="PMingLiU"/>
          <w:spacing w:val="8"/>
        </w:rPr>
        <w:t>样品的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spacing w:val="8"/>
        </w:rPr>
        <w:t>含量）缺少有效数字。考虑到作者没有删除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534.40</w:t>
      </w:r>
      <w:r>
        <w:rPr>
          <w:rStyle w:val="any"/>
          <w:rFonts w:ascii="PMingLiU" w:eastAsia="PMingLiU" w:hAnsi="PMingLiU" w:cs="PMingLiU"/>
          <w:spacing w:val="8"/>
        </w:rPr>
        <w:t>（表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286.30</w:t>
      </w:r>
      <w:r>
        <w:rPr>
          <w:rStyle w:val="any"/>
          <w:rFonts w:ascii="PMingLiU" w:eastAsia="PMingLiU" w:hAnsi="PMingLiU" w:cs="PMingLiU"/>
          <w:spacing w:val="8"/>
        </w:rPr>
        <w:t>（表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284.80</w:t>
      </w:r>
      <w:r>
        <w:rPr>
          <w:rStyle w:val="any"/>
          <w:rFonts w:ascii="PMingLiU" w:eastAsia="PMingLiU" w:hAnsi="PMingLiU" w:cs="PMingLiU"/>
          <w:spacing w:val="8"/>
        </w:rPr>
        <w:t>（表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）处的</w:t>
      </w:r>
      <w:r>
        <w:rPr>
          <w:rStyle w:val="any"/>
          <w:rFonts w:ascii="Times New Roman" w:eastAsia="Times New Roman" w:hAnsi="Times New Roman" w:cs="Times New Roman"/>
          <w:spacing w:val="8"/>
        </w:rPr>
        <w:t>“0”</w:t>
      </w:r>
      <w:r>
        <w:rPr>
          <w:rStyle w:val="any"/>
          <w:rFonts w:ascii="PMingLiU" w:eastAsia="PMingLiU" w:hAnsi="PMingLiU" w:cs="PMingLiU"/>
          <w:spacing w:val="8"/>
        </w:rPr>
        <w:t>，这两个数据很可能是被操纵的。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9964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401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https://pubpeer.com/publications/CEFB7864E5E88C2550233FD8845F97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485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033&amp;idx=1&amp;sn=c375ba047c55faffb7ff0c38ca9e73fb&amp;chksm=c3dbee1a0a86344b9e4c5a0159130c16d827f52a810356f203b7c640a1147d498f9dce981f97&amp;scene=126&amp;sessionid=17423154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