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不同实验条件的图像面板重叠，山东农业大学的论文被质疑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39978896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57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66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812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7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山东农业大学植物保护学院在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Carbohydrate Polymers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IF=10.7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 carboxymethyl chitosan /trans-2-hexenal Schiff's base gel with controlled density using dynamic imine bonds: pH-controlled release and extended duration"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利用动态亚胺键控制密度的羧甲基壳聚糖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反式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-2-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己烯醛席夫碱凝胶：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pH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值可控释放并延长持续时间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山东农业大学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Guang-shuo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山东农业大学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Nan Zou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本项工作得到了中国国家重点研发计划（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2023YFD1401200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32472609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2024M751877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）以及山东省博士后创新项目（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SDCX-ZG-202400096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48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278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063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429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12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The images of the two groups in Figure 8B overlap.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7475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153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7F contains two identical petri dishes for different timepoints: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8810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056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https://pubpeer.com/publications/34A8A92FEB70246C42160F3F763480#1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https://pubmed.ncbi.nlm.nih.gov/39978896/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99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789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146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779&amp;idx=3&amp;sn=e0f56af8b4e8ceb892a31b0edb91929a&amp;chksm=c3217ed7fa4b81f80294f34bb514e59b66bdfdec2a85820d0bcf56a370d0aa818c932926850b&amp;scene=126&amp;sessionid=17423543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