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苏州大学国家级青年人才论文亮相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子刊后，被指多处图片重叠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15:10:51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843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908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2019年，来自苏州大学功能纳米与软物质研究院的Jiali Tang , Binbin Chu , Jinhua Wang , Bin Song , Yuanyuan Su , Houyu Wang （通讯作者） , Yao He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Nature Communications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Multifunctional nanoagents for ultrasensitive imaging and photoactive killing of Gram-negative and Gram-positive bacteria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我们感谢以下机构的资金支持：中国国家基础研究计划（2013CB934400）、中国国家自然科学基金（21825402、31400860、21575096 和 21605109）、中国江苏省自然科学基金（编号 BK20170061）、江苏省高等教育机构优先学术项目发展资助项目（PAPD）、“111 计划”以及苏州纳米科技协同创新中心（NANO-CIC）。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4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81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1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62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3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回复信息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09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493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https://pubpeer.com/publications/C6777047A6AB126D09E663072862FD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363&amp;idx=1&amp;sn=c80d8191637817e7b39d381d5253de57&amp;chksm=c23c8781f51c81abe773d22be1b3fe551bdb09556b26cc9513b1487fc834a9ba41309d74645f&amp;scene=126&amp;sessionid=17423153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