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50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21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54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896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24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bfd138d71859943618569dc095ab75633211a0c919f970420b08f87ada3476f32e10273e89&amp;scene=126&amp;sessionid=1742315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