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作者不知情发表及文本重复，上海市第九人民医院辅助生殖科</w:t>
        </w:r>
        <w:r>
          <w:rPr>
            <w:rStyle w:val="a"/>
            <w:rFonts w:ascii="Times New Roman" w:eastAsia="Times New Roman" w:hAnsi="Times New Roman" w:cs="Times New Roman"/>
            <w:b w:val="0"/>
            <w:bCs w:val="0"/>
            <w:spacing w:val="8"/>
          </w:rPr>
          <w:t>Reprod Health</w:t>
        </w:r>
        <w:r>
          <w:rPr>
            <w:rStyle w:val="a"/>
            <w:rFonts w:ascii="PMingLiU" w:eastAsia="PMingLiU" w:hAnsi="PMingLiU" w:cs="PMingLiU"/>
            <w:b w:val="0"/>
            <w:bCs w:val="0"/>
            <w:spacing w:val="8"/>
          </w:rPr>
          <w:t>论文撤回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2025-03-16 16:56:00</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2304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951844"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90"/>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作者不知情发表及文本重复，</w:t>
            </w:r>
            <w:r>
              <w:rPr>
                <w:rStyle w:val="any"/>
                <w:rFonts w:ascii="PMingLiU" w:eastAsia="PMingLiU" w:hAnsi="PMingLiU" w:cs="PMingLiU"/>
                <w:b/>
                <w:bCs/>
                <w:i w:val="0"/>
                <w:iCs w:val="0"/>
                <w:caps w:val="0"/>
                <w:smallCaps w:val="0"/>
                <w:color w:val="111111"/>
                <w:spacing w:val="8"/>
                <w:sz w:val="28"/>
                <w:szCs w:val="28"/>
              </w:rPr>
              <w:t>上海</w:t>
            </w:r>
            <w:r>
              <w:rPr>
                <w:rStyle w:val="any"/>
                <w:rFonts w:ascii="宋体" w:eastAsia="宋体" w:hAnsi="宋体" w:cs="宋体"/>
                <w:b/>
                <w:bCs/>
                <w:i w:val="0"/>
                <w:iCs w:val="0"/>
                <w:caps w:val="0"/>
                <w:smallCaps w:val="0"/>
                <w:color w:val="111111"/>
                <w:spacing w:val="8"/>
                <w:sz w:val="28"/>
                <w:szCs w:val="28"/>
              </w:rPr>
              <w:t>市</w:t>
            </w:r>
            <w:r>
              <w:rPr>
                <w:rStyle w:val="any"/>
                <w:rFonts w:ascii="PMingLiU" w:eastAsia="PMingLiU" w:hAnsi="PMingLiU" w:cs="PMingLiU"/>
                <w:b/>
                <w:bCs/>
                <w:i w:val="0"/>
                <w:iCs w:val="0"/>
                <w:caps w:val="0"/>
                <w:smallCaps w:val="0"/>
                <w:color w:val="111111"/>
                <w:spacing w:val="8"/>
                <w:sz w:val="28"/>
                <w:szCs w:val="28"/>
              </w:rPr>
              <w:t>第九人民医院辅助生殖科</w:t>
            </w:r>
            <w:r>
              <w:rPr>
                <w:rStyle w:val="any"/>
                <w:b/>
                <w:bCs/>
                <w:i w:val="0"/>
                <w:iCs w:val="0"/>
                <w:caps w:val="0"/>
                <w:smallCaps w:val="0"/>
                <w:color w:val="000000"/>
                <w:spacing w:val="8"/>
                <w:sz w:val="28"/>
                <w:szCs w:val="28"/>
              </w:rPr>
              <w:t>Reprod Health</w:t>
            </w:r>
            <w:r>
              <w:rPr>
                <w:rStyle w:val="any"/>
                <w:rFonts w:ascii="宋体" w:eastAsia="宋体" w:hAnsi="宋体" w:cs="宋体"/>
                <w:b/>
                <w:bCs/>
                <w:i w:val="0"/>
                <w:iCs w:val="0"/>
                <w:caps w:val="0"/>
                <w:smallCaps w:val="0"/>
                <w:color w:val="000000"/>
                <w:spacing w:val="8"/>
                <w:sz w:val="28"/>
                <w:szCs w:val="28"/>
              </w:rPr>
              <w:t>论文撤回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The comparison of two different protocols ultra-long versus medroxyprogesterone acetate in women with ovarian endometriosis: a prospective randomized controlled trial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两种不同方案在卵巢子宫内膜异位症患者中超长与醋酸甲羟孕酮的比较：一项前瞻性随机对照试验</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背景：本研究旨在探讨接受体外受精（</w:t>
            </w:r>
            <w:r>
              <w:rPr>
                <w:rStyle w:val="any"/>
                <w:rFonts w:ascii="Tahoma" w:eastAsia="Tahoma" w:hAnsi="Tahoma" w:cs="Tahoma"/>
                <w:b w:val="0"/>
                <w:bCs w:val="0"/>
                <w:i w:val="0"/>
                <w:iCs w:val="0"/>
                <w:caps w:val="0"/>
                <w:smallCaps w:val="0"/>
                <w:color w:val="111111"/>
                <w:spacing w:val="8"/>
                <w:sz w:val="21"/>
                <w:szCs w:val="21"/>
              </w:rPr>
              <w:t>IVF</w:t>
            </w:r>
            <w:r>
              <w:rPr>
                <w:rStyle w:val="any"/>
                <w:rFonts w:ascii="PMingLiU" w:eastAsia="PMingLiU" w:hAnsi="PMingLiU" w:cs="PMingLiU"/>
                <w:b w:val="0"/>
                <w:bCs w:val="0"/>
                <w:i w:val="0"/>
                <w:iCs w:val="0"/>
                <w:caps w:val="0"/>
                <w:smallCaps w:val="0"/>
                <w:color w:val="111111"/>
                <w:spacing w:val="8"/>
                <w:sz w:val="21"/>
                <w:szCs w:val="21"/>
              </w:rPr>
              <w:t>）的晚期卵巢子宫内膜异位症患者中，醋酸甲羟孕酮（</w:t>
            </w:r>
            <w:r>
              <w:rPr>
                <w:rStyle w:val="any"/>
                <w:rFonts w:ascii="Tahoma" w:eastAsia="Tahoma" w:hAnsi="Tahoma" w:cs="Tahoma"/>
                <w:b w:val="0"/>
                <w:bCs w:val="0"/>
                <w:i w:val="0"/>
                <w:iCs w:val="0"/>
                <w:caps w:val="0"/>
                <w:smallCaps w:val="0"/>
                <w:color w:val="111111"/>
                <w:spacing w:val="8"/>
                <w:sz w:val="21"/>
                <w:szCs w:val="21"/>
              </w:rPr>
              <w:t>MPA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+HMG</w:t>
            </w:r>
            <w:r>
              <w:rPr>
                <w:rStyle w:val="any"/>
                <w:rFonts w:ascii="PMingLiU" w:eastAsia="PMingLiU" w:hAnsi="PMingLiU" w:cs="PMingLiU"/>
                <w:b w:val="0"/>
                <w:bCs w:val="0"/>
                <w:i w:val="0"/>
                <w:iCs w:val="0"/>
                <w:caps w:val="0"/>
                <w:smallCaps w:val="0"/>
                <w:color w:val="111111"/>
                <w:spacing w:val="8"/>
                <w:sz w:val="21"/>
                <w:szCs w:val="21"/>
              </w:rPr>
              <w:t>方案与超长促性腺激素释放激素（</w:t>
            </w:r>
            <w:r>
              <w:rPr>
                <w:rStyle w:val="any"/>
                <w:rFonts w:ascii="Tahoma" w:eastAsia="Tahoma" w:hAnsi="Tahoma" w:cs="Tahoma"/>
                <w:b w:val="0"/>
                <w:bCs w:val="0"/>
                <w:i w:val="0"/>
                <w:iCs w:val="0"/>
                <w:caps w:val="0"/>
                <w:smallCaps w:val="0"/>
                <w:color w:val="111111"/>
                <w:spacing w:val="8"/>
                <w:sz w:val="21"/>
                <w:szCs w:val="21"/>
              </w:rPr>
              <w:t>GnRH</w:t>
            </w:r>
            <w:r>
              <w:rPr>
                <w:rStyle w:val="any"/>
                <w:rFonts w:ascii="PMingLiU" w:eastAsia="PMingLiU" w:hAnsi="PMingLiU" w:cs="PMingLiU"/>
                <w:b w:val="0"/>
                <w:bCs w:val="0"/>
                <w:i w:val="0"/>
                <w:iCs w:val="0"/>
                <w:caps w:val="0"/>
                <w:smallCaps w:val="0"/>
                <w:color w:val="111111"/>
                <w:spacing w:val="8"/>
                <w:sz w:val="21"/>
                <w:szCs w:val="21"/>
              </w:rPr>
              <w:t>）激动剂方案的比较。方法：纳入</w:t>
            </w:r>
            <w:r>
              <w:rPr>
                <w:rStyle w:val="any"/>
                <w:rFonts w:ascii="Tahoma" w:eastAsia="Tahoma" w:hAnsi="Tahoma" w:cs="Tahoma"/>
                <w:b w:val="0"/>
                <w:bCs w:val="0"/>
                <w:i w:val="0"/>
                <w:iCs w:val="0"/>
                <w:caps w:val="0"/>
                <w:smallCaps w:val="0"/>
                <w:color w:val="111111"/>
                <w:spacing w:val="8"/>
                <w:sz w:val="21"/>
                <w:szCs w:val="21"/>
              </w:rPr>
              <w:t>300</w:t>
            </w:r>
            <w:r>
              <w:rPr>
                <w:rStyle w:val="any"/>
                <w:rFonts w:ascii="PMingLiU" w:eastAsia="PMingLiU" w:hAnsi="PMingLiU" w:cs="PMingLiU"/>
                <w:b w:val="0"/>
                <w:bCs w:val="0"/>
                <w:i w:val="0"/>
                <w:iCs w:val="0"/>
                <w:caps w:val="0"/>
                <w:smallCaps w:val="0"/>
                <w:color w:val="111111"/>
                <w:spacing w:val="8"/>
                <w:sz w:val="21"/>
                <w:szCs w:val="21"/>
              </w:rPr>
              <w:t>名接受体外受精的晚期卵巢子宫内膜异位症患者，并在</w:t>
            </w:r>
            <w:r>
              <w:rPr>
                <w:rStyle w:val="any"/>
                <w:rFonts w:ascii="Tahoma" w:eastAsia="Tahoma" w:hAnsi="Tahoma" w:cs="Tahoma"/>
                <w:b w:val="0"/>
                <w:bCs w:val="0"/>
                <w:i w:val="0"/>
                <w:iCs w:val="0"/>
                <w:caps w:val="0"/>
                <w:smallCaps w:val="0"/>
                <w:color w:val="111111"/>
                <w:spacing w:val="8"/>
                <w:sz w:val="21"/>
                <w:szCs w:val="21"/>
              </w:rPr>
              <w:t>2017</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月至</w:t>
            </w:r>
            <w:r>
              <w:rPr>
                <w:rStyle w:val="any"/>
                <w:rFonts w:ascii="Tahoma" w:eastAsia="Tahoma" w:hAnsi="Tahoma" w:cs="Tahoma"/>
                <w:b w:val="0"/>
                <w:bCs w:val="0"/>
                <w:i w:val="0"/>
                <w:iCs w:val="0"/>
                <w:caps w:val="0"/>
                <w:smallCaps w:val="0"/>
                <w:color w:val="111111"/>
                <w:spacing w:val="8"/>
                <w:sz w:val="21"/>
                <w:szCs w:val="21"/>
              </w:rPr>
              <w:t>2017</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9</w:t>
            </w:r>
            <w:r>
              <w:rPr>
                <w:rStyle w:val="any"/>
                <w:rFonts w:ascii="PMingLiU" w:eastAsia="PMingLiU" w:hAnsi="PMingLiU" w:cs="PMingLiU"/>
                <w:b w:val="0"/>
                <w:bCs w:val="0"/>
                <w:i w:val="0"/>
                <w:iCs w:val="0"/>
                <w:caps w:val="0"/>
                <w:smallCaps w:val="0"/>
                <w:color w:val="111111"/>
                <w:spacing w:val="8"/>
                <w:sz w:val="21"/>
                <w:szCs w:val="21"/>
              </w:rPr>
              <w:t>月期间评估其胚胎学和临床结果。患者分为</w:t>
            </w:r>
            <w:r>
              <w:rPr>
                <w:rStyle w:val="any"/>
                <w:rFonts w:ascii="Tahoma" w:eastAsia="Tahoma" w:hAnsi="Tahoma" w:cs="Tahoma"/>
                <w:b w:val="0"/>
                <w:bCs w:val="0"/>
                <w:i w:val="0"/>
                <w:iCs w:val="0"/>
                <w:caps w:val="0"/>
                <w:smallCaps w:val="0"/>
                <w:color w:val="111111"/>
                <w:spacing w:val="8"/>
                <w:sz w:val="21"/>
                <w:szCs w:val="21"/>
              </w:rPr>
              <w:t>MPA+HMG</w:t>
            </w:r>
            <w:r>
              <w:rPr>
                <w:rStyle w:val="any"/>
                <w:rFonts w:ascii="PMingLiU" w:eastAsia="PMingLiU" w:hAnsi="PMingLiU" w:cs="PMingLiU"/>
                <w:b w:val="0"/>
                <w:bCs w:val="0"/>
                <w:i w:val="0"/>
                <w:iCs w:val="0"/>
                <w:caps w:val="0"/>
                <w:smallCaps w:val="0"/>
                <w:color w:val="111111"/>
                <w:spacing w:val="8"/>
                <w:sz w:val="21"/>
                <w:szCs w:val="21"/>
              </w:rPr>
              <w:t>组和</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个月超长</w:t>
            </w:r>
            <w:r>
              <w:rPr>
                <w:rStyle w:val="any"/>
                <w:rFonts w:ascii="Tahoma" w:eastAsia="Tahoma" w:hAnsi="Tahoma" w:cs="Tahoma"/>
                <w:b w:val="0"/>
                <w:bCs w:val="0"/>
                <w:i w:val="0"/>
                <w:iCs w:val="0"/>
                <w:caps w:val="0"/>
                <w:smallCaps w:val="0"/>
                <w:color w:val="111111"/>
                <w:spacing w:val="8"/>
                <w:sz w:val="21"/>
                <w:szCs w:val="21"/>
              </w:rPr>
              <w:t>GnRHa</w:t>
            </w:r>
            <w:r>
              <w:rPr>
                <w:rStyle w:val="any"/>
                <w:rFonts w:ascii="PMingLiU" w:eastAsia="PMingLiU" w:hAnsi="PMingLiU" w:cs="PMingLiU"/>
                <w:b w:val="0"/>
                <w:bCs w:val="0"/>
                <w:i w:val="0"/>
                <w:iCs w:val="0"/>
                <w:caps w:val="0"/>
                <w:smallCaps w:val="0"/>
                <w:color w:val="111111"/>
                <w:spacing w:val="8"/>
                <w:sz w:val="21"/>
                <w:szCs w:val="21"/>
              </w:rPr>
              <w:t>方案组。结果：</w:t>
            </w:r>
            <w:r>
              <w:rPr>
                <w:rStyle w:val="any"/>
                <w:rFonts w:ascii="Tahoma" w:eastAsia="Tahoma" w:hAnsi="Tahoma" w:cs="Tahoma"/>
                <w:b w:val="0"/>
                <w:bCs w:val="0"/>
                <w:i w:val="0"/>
                <w:iCs w:val="0"/>
                <w:caps w:val="0"/>
                <w:smallCaps w:val="0"/>
                <w:color w:val="111111"/>
                <w:spacing w:val="8"/>
                <w:sz w:val="21"/>
                <w:szCs w:val="21"/>
              </w:rPr>
              <w:t>MPA+hMG</w:t>
            </w:r>
            <w:r>
              <w:rPr>
                <w:rStyle w:val="any"/>
                <w:rFonts w:ascii="PMingLiU" w:eastAsia="PMingLiU" w:hAnsi="PMingLiU" w:cs="PMingLiU"/>
                <w:b w:val="0"/>
                <w:bCs w:val="0"/>
                <w:i w:val="0"/>
                <w:iCs w:val="0"/>
                <w:caps w:val="0"/>
                <w:smallCaps w:val="0"/>
                <w:color w:val="111111"/>
                <w:spacing w:val="8"/>
                <w:sz w:val="21"/>
                <w:szCs w:val="21"/>
              </w:rPr>
              <w:t>组</w:t>
            </w:r>
            <w:r>
              <w:rPr>
                <w:rStyle w:val="any"/>
                <w:rFonts w:ascii="Tahoma" w:eastAsia="Tahoma" w:hAnsi="Tahoma" w:cs="Tahoma"/>
                <w:b w:val="0"/>
                <w:bCs w:val="0"/>
                <w:i w:val="0"/>
                <w:iCs w:val="0"/>
                <w:caps w:val="0"/>
                <w:smallCaps w:val="0"/>
                <w:color w:val="111111"/>
                <w:spacing w:val="8"/>
                <w:sz w:val="21"/>
                <w:szCs w:val="21"/>
              </w:rPr>
              <w:t>hMG</w:t>
            </w:r>
            <w:r>
              <w:rPr>
                <w:rStyle w:val="any"/>
                <w:rFonts w:ascii="PMingLiU" w:eastAsia="PMingLiU" w:hAnsi="PMingLiU" w:cs="PMingLiU"/>
                <w:b w:val="0"/>
                <w:bCs w:val="0"/>
                <w:i w:val="0"/>
                <w:iCs w:val="0"/>
                <w:caps w:val="0"/>
                <w:smallCaps w:val="0"/>
                <w:color w:val="111111"/>
                <w:spacing w:val="8"/>
                <w:sz w:val="21"/>
                <w:szCs w:val="21"/>
              </w:rPr>
              <w:t>剂量和用药时间均低于</w:t>
            </w:r>
            <w:r>
              <w:rPr>
                <w:rStyle w:val="any"/>
                <w:rFonts w:ascii="Tahoma" w:eastAsia="Tahoma" w:hAnsi="Tahoma" w:cs="Tahoma"/>
                <w:b w:val="0"/>
                <w:bCs w:val="0"/>
                <w:i w:val="0"/>
                <w:iCs w:val="0"/>
                <w:caps w:val="0"/>
                <w:smallCaps w:val="0"/>
                <w:color w:val="111111"/>
                <w:spacing w:val="8"/>
                <w:sz w:val="21"/>
                <w:szCs w:val="21"/>
              </w:rPr>
              <w:t>GnRHa</w:t>
            </w:r>
            <w:r>
              <w:rPr>
                <w:rStyle w:val="any"/>
                <w:rFonts w:ascii="PMingLiU" w:eastAsia="PMingLiU" w:hAnsi="PMingLiU" w:cs="PMingLiU"/>
                <w:b w:val="0"/>
                <w:bCs w:val="0"/>
                <w:i w:val="0"/>
                <w:iCs w:val="0"/>
                <w:caps w:val="0"/>
                <w:smallCaps w:val="0"/>
                <w:color w:val="111111"/>
                <w:spacing w:val="8"/>
                <w:sz w:val="21"/>
                <w:szCs w:val="21"/>
              </w:rPr>
              <w:t>组（</w:t>
            </w:r>
            <w:r>
              <w:rPr>
                <w:rStyle w:val="any"/>
                <w:rFonts w:ascii="Tahoma" w:eastAsia="Tahoma" w:hAnsi="Tahoma" w:cs="Tahoma"/>
                <w:b w:val="0"/>
                <w:bCs w:val="0"/>
                <w:i w:val="0"/>
                <w:iCs w:val="0"/>
                <w:caps w:val="0"/>
                <w:smallCaps w:val="0"/>
                <w:color w:val="111111"/>
                <w:spacing w:val="8"/>
                <w:sz w:val="21"/>
                <w:szCs w:val="21"/>
              </w:rPr>
              <w:t>P&lt;0.05</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MPA+HMG</w:t>
            </w:r>
            <w:r>
              <w:rPr>
                <w:rStyle w:val="any"/>
                <w:rFonts w:ascii="PMingLiU" w:eastAsia="PMingLiU" w:hAnsi="PMingLiU" w:cs="PMingLiU"/>
                <w:b w:val="0"/>
                <w:bCs w:val="0"/>
                <w:i w:val="0"/>
                <w:iCs w:val="0"/>
                <w:caps w:val="0"/>
                <w:smallCaps w:val="0"/>
                <w:color w:val="111111"/>
                <w:spacing w:val="8"/>
                <w:sz w:val="21"/>
                <w:szCs w:val="21"/>
              </w:rPr>
              <w:t>组与</w:t>
            </w:r>
            <w:r>
              <w:rPr>
                <w:rStyle w:val="any"/>
                <w:rFonts w:ascii="Tahoma" w:eastAsia="Tahoma" w:hAnsi="Tahoma" w:cs="Tahoma"/>
                <w:b w:val="0"/>
                <w:bCs w:val="0"/>
                <w:i w:val="0"/>
                <w:iCs w:val="0"/>
                <w:caps w:val="0"/>
                <w:smallCaps w:val="0"/>
                <w:color w:val="111111"/>
                <w:spacing w:val="8"/>
                <w:sz w:val="21"/>
                <w:szCs w:val="21"/>
              </w:rPr>
              <w:t>GnRHa</w:t>
            </w:r>
            <w:r>
              <w:rPr>
                <w:rStyle w:val="any"/>
                <w:rFonts w:ascii="PMingLiU" w:eastAsia="PMingLiU" w:hAnsi="PMingLiU" w:cs="PMingLiU"/>
                <w:b w:val="0"/>
                <w:bCs w:val="0"/>
                <w:i w:val="0"/>
                <w:iCs w:val="0"/>
                <w:caps w:val="0"/>
                <w:smallCaps w:val="0"/>
                <w:color w:val="111111"/>
                <w:spacing w:val="8"/>
                <w:sz w:val="21"/>
                <w:szCs w:val="21"/>
              </w:rPr>
              <w:t>组卵泡卵母细胞指数存在显著差异（</w:t>
            </w:r>
            <w:r>
              <w:rPr>
                <w:rStyle w:val="any"/>
                <w:rFonts w:ascii="Tahoma" w:eastAsia="Tahoma" w:hAnsi="Tahoma" w:cs="Tahoma"/>
                <w:b w:val="0"/>
                <w:bCs w:val="0"/>
                <w:i w:val="0"/>
                <w:iCs w:val="0"/>
                <w:caps w:val="0"/>
                <w:smallCaps w:val="0"/>
                <w:color w:val="111111"/>
                <w:spacing w:val="8"/>
                <w:sz w:val="21"/>
                <w:szCs w:val="21"/>
              </w:rPr>
              <w:t>P&lt;0.001</w:t>
            </w:r>
            <w:r>
              <w:rPr>
                <w:rStyle w:val="any"/>
                <w:rFonts w:ascii="PMingLiU" w:eastAsia="PMingLiU" w:hAnsi="PMingLiU" w:cs="PMingLiU"/>
                <w:b w:val="0"/>
                <w:bCs w:val="0"/>
                <w:i w:val="0"/>
                <w:iCs w:val="0"/>
                <w:caps w:val="0"/>
                <w:smallCaps w:val="0"/>
                <w:color w:val="111111"/>
                <w:spacing w:val="8"/>
                <w:sz w:val="21"/>
                <w:szCs w:val="21"/>
              </w:rPr>
              <w:t>）。卵巢反应和成熟卵母细胞、受精卵母细胞和活胚胎的数量没有差异。</w:t>
            </w:r>
            <w:r>
              <w:rPr>
                <w:rStyle w:val="any"/>
                <w:rFonts w:ascii="Tahoma" w:eastAsia="Tahoma" w:hAnsi="Tahoma" w:cs="Tahoma"/>
                <w:b w:val="0"/>
                <w:bCs w:val="0"/>
                <w:i w:val="0"/>
                <w:iCs w:val="0"/>
                <w:caps w:val="0"/>
                <w:smallCaps w:val="0"/>
                <w:color w:val="111111"/>
                <w:spacing w:val="8"/>
                <w:sz w:val="21"/>
                <w:szCs w:val="21"/>
              </w:rPr>
              <w:t>MPA+HMG</w:t>
            </w:r>
            <w:r>
              <w:rPr>
                <w:rStyle w:val="any"/>
                <w:rFonts w:ascii="PMingLiU" w:eastAsia="PMingLiU" w:hAnsi="PMingLiU" w:cs="PMingLiU"/>
                <w:b w:val="0"/>
                <w:bCs w:val="0"/>
                <w:i w:val="0"/>
                <w:iCs w:val="0"/>
                <w:caps w:val="0"/>
                <w:smallCaps w:val="0"/>
                <w:color w:val="111111"/>
                <w:spacing w:val="8"/>
                <w:sz w:val="21"/>
                <w:szCs w:val="21"/>
              </w:rPr>
              <w:t>组和</w:t>
            </w:r>
            <w:r>
              <w:rPr>
                <w:rStyle w:val="any"/>
                <w:rFonts w:ascii="Tahoma" w:eastAsia="Tahoma" w:hAnsi="Tahoma" w:cs="Tahoma"/>
                <w:b w:val="0"/>
                <w:bCs w:val="0"/>
                <w:i w:val="0"/>
                <w:iCs w:val="0"/>
                <w:caps w:val="0"/>
                <w:smallCaps w:val="0"/>
                <w:color w:val="111111"/>
                <w:spacing w:val="8"/>
                <w:sz w:val="21"/>
                <w:szCs w:val="21"/>
              </w:rPr>
              <w:t>GnRHa</w:t>
            </w:r>
            <w:r>
              <w:rPr>
                <w:rStyle w:val="any"/>
                <w:rFonts w:ascii="PMingLiU" w:eastAsia="PMingLiU" w:hAnsi="PMingLiU" w:cs="PMingLiU"/>
                <w:b w:val="0"/>
                <w:bCs w:val="0"/>
                <w:i w:val="0"/>
                <w:iCs w:val="0"/>
                <w:caps w:val="0"/>
                <w:smallCaps w:val="0"/>
                <w:color w:val="111111"/>
                <w:spacing w:val="8"/>
                <w:sz w:val="21"/>
                <w:szCs w:val="21"/>
              </w:rPr>
              <w:t>组的临床妊娠和活产结局相似，这些结局独立于</w:t>
            </w:r>
            <w:r>
              <w:rPr>
                <w:rStyle w:val="any"/>
                <w:rFonts w:ascii="Tahoma" w:eastAsia="Tahoma" w:hAnsi="Tahoma" w:cs="Tahoma"/>
                <w:b w:val="0"/>
                <w:bCs w:val="0"/>
                <w:i w:val="0"/>
                <w:iCs w:val="0"/>
                <w:caps w:val="0"/>
                <w:smallCaps w:val="0"/>
                <w:color w:val="111111"/>
                <w:spacing w:val="8"/>
                <w:sz w:val="21"/>
                <w:szCs w:val="21"/>
              </w:rPr>
              <w:t>GnRHa</w:t>
            </w:r>
            <w:r>
              <w:rPr>
                <w:rStyle w:val="any"/>
                <w:rFonts w:ascii="PMingLiU" w:eastAsia="PMingLiU" w:hAnsi="PMingLiU" w:cs="PMingLiU"/>
                <w:b w:val="0"/>
                <w:bCs w:val="0"/>
                <w:i w:val="0"/>
                <w:iCs w:val="0"/>
                <w:caps w:val="0"/>
                <w:smallCaps w:val="0"/>
                <w:color w:val="111111"/>
                <w:spacing w:val="8"/>
                <w:sz w:val="21"/>
                <w:szCs w:val="21"/>
              </w:rPr>
              <w:t>方案组的新鲜或冷冻胚胎移植。在胚胎移植的时间、医疗费用和不良反应方面没有显著差异。结论：在卵巢子宫内膜异位症患者中，</w:t>
            </w:r>
            <w:r>
              <w:rPr>
                <w:rStyle w:val="any"/>
                <w:rFonts w:ascii="Tahoma" w:eastAsia="Tahoma" w:hAnsi="Tahoma" w:cs="Tahoma"/>
                <w:b w:val="0"/>
                <w:bCs w:val="0"/>
                <w:i w:val="0"/>
                <w:iCs w:val="0"/>
                <w:caps w:val="0"/>
                <w:smallCaps w:val="0"/>
                <w:color w:val="111111"/>
                <w:spacing w:val="8"/>
                <w:sz w:val="21"/>
                <w:szCs w:val="21"/>
              </w:rPr>
              <w:t>MPA+HMG</w:t>
            </w:r>
            <w:r>
              <w:rPr>
                <w:rStyle w:val="any"/>
                <w:rFonts w:ascii="PMingLiU" w:eastAsia="PMingLiU" w:hAnsi="PMingLiU" w:cs="PMingLiU"/>
                <w:b w:val="0"/>
                <w:bCs w:val="0"/>
                <w:i w:val="0"/>
                <w:iCs w:val="0"/>
                <w:caps w:val="0"/>
                <w:smallCaps w:val="0"/>
                <w:color w:val="111111"/>
                <w:spacing w:val="8"/>
                <w:sz w:val="21"/>
                <w:szCs w:val="21"/>
              </w:rPr>
              <w:t>方案后回收的卵母细胞数量和妊娠结果与超长</w:t>
            </w:r>
            <w:r>
              <w:rPr>
                <w:rStyle w:val="any"/>
                <w:rFonts w:ascii="Tahoma" w:eastAsia="Tahoma" w:hAnsi="Tahoma" w:cs="Tahoma"/>
                <w:b w:val="0"/>
                <w:bCs w:val="0"/>
                <w:i w:val="0"/>
                <w:iCs w:val="0"/>
                <w:caps w:val="0"/>
                <w:smallCaps w:val="0"/>
                <w:color w:val="111111"/>
                <w:spacing w:val="8"/>
                <w:sz w:val="21"/>
                <w:szCs w:val="21"/>
              </w:rPr>
              <w:t>GnRHa</w:t>
            </w:r>
            <w:r>
              <w:rPr>
                <w:rStyle w:val="any"/>
                <w:rFonts w:ascii="PMingLiU" w:eastAsia="PMingLiU" w:hAnsi="PMingLiU" w:cs="PMingLiU"/>
                <w:b w:val="0"/>
                <w:bCs w:val="0"/>
                <w:i w:val="0"/>
                <w:iCs w:val="0"/>
                <w:caps w:val="0"/>
                <w:smallCaps w:val="0"/>
                <w:color w:val="111111"/>
                <w:spacing w:val="8"/>
                <w:sz w:val="21"/>
                <w:szCs w:val="21"/>
              </w:rPr>
              <w:t>方案后相似。</w:t>
            </w:r>
            <w:r>
              <w:rPr>
                <w:rStyle w:val="any"/>
                <w:rFonts w:ascii="Tahoma" w:eastAsia="Tahoma" w:hAnsi="Tahoma" w:cs="Tahoma"/>
                <w:b w:val="0"/>
                <w:bCs w:val="0"/>
                <w:i w:val="0"/>
                <w:iCs w:val="0"/>
                <w:caps w:val="0"/>
                <w:smallCaps w:val="0"/>
                <w:color w:val="111111"/>
                <w:spacing w:val="8"/>
                <w:sz w:val="21"/>
                <w:szCs w:val="21"/>
              </w:rPr>
              <w:t>MPA+HMG</w:t>
            </w:r>
            <w:r>
              <w:rPr>
                <w:rStyle w:val="any"/>
                <w:rFonts w:ascii="PMingLiU" w:eastAsia="PMingLiU" w:hAnsi="PMingLiU" w:cs="PMingLiU"/>
                <w:b w:val="0"/>
                <w:bCs w:val="0"/>
                <w:i w:val="0"/>
                <w:iCs w:val="0"/>
                <w:caps w:val="0"/>
                <w:smallCaps w:val="0"/>
                <w:color w:val="111111"/>
                <w:spacing w:val="8"/>
                <w:sz w:val="21"/>
                <w:szCs w:val="21"/>
              </w:rPr>
              <w:t>方案可能是卵巢子宫内膜异位症患者体外受精超长</w:t>
            </w:r>
            <w:r>
              <w:rPr>
                <w:rStyle w:val="any"/>
                <w:rFonts w:ascii="Tahoma" w:eastAsia="Tahoma" w:hAnsi="Tahoma" w:cs="Tahoma"/>
                <w:b w:val="0"/>
                <w:bCs w:val="0"/>
                <w:i w:val="0"/>
                <w:iCs w:val="0"/>
                <w:caps w:val="0"/>
                <w:smallCaps w:val="0"/>
                <w:color w:val="111111"/>
                <w:spacing w:val="8"/>
                <w:sz w:val="21"/>
                <w:szCs w:val="21"/>
              </w:rPr>
              <w:t>GnRHa</w:t>
            </w:r>
            <w:r>
              <w:rPr>
                <w:rStyle w:val="any"/>
                <w:rFonts w:ascii="PMingLiU" w:eastAsia="PMingLiU" w:hAnsi="PMingLiU" w:cs="PMingLiU"/>
                <w:b w:val="0"/>
                <w:bCs w:val="0"/>
                <w:i w:val="0"/>
                <w:iCs w:val="0"/>
                <w:caps w:val="0"/>
                <w:smallCaps w:val="0"/>
                <w:color w:val="111111"/>
                <w:spacing w:val="8"/>
                <w:sz w:val="21"/>
                <w:szCs w:val="21"/>
              </w:rPr>
              <w:t>方案的替代方案。试验注册该试验已在中国临床试验注册中心（</w:t>
            </w:r>
            <w:r>
              <w:rPr>
                <w:rStyle w:val="any"/>
                <w:rFonts w:ascii="Tahoma" w:eastAsia="Tahoma" w:hAnsi="Tahoma" w:cs="Tahoma"/>
                <w:b w:val="0"/>
                <w:bCs w:val="0"/>
                <w:i w:val="0"/>
                <w:iCs w:val="0"/>
                <w:caps w:val="0"/>
                <w:smallCaps w:val="0"/>
                <w:color w:val="111111"/>
                <w:spacing w:val="8"/>
                <w:sz w:val="21"/>
                <w:szCs w:val="21"/>
              </w:rPr>
              <w:t>ChiCTR-INR-17010924</w:t>
            </w:r>
            <w:r>
              <w:rPr>
                <w:rStyle w:val="any"/>
                <w:rFonts w:ascii="PMingLiU" w:eastAsia="PMingLiU" w:hAnsi="PMingLiU" w:cs="PMingLiU"/>
                <w:b w:val="0"/>
                <w:bCs w:val="0"/>
                <w:i w:val="0"/>
                <w:iCs w:val="0"/>
                <w:caps w:val="0"/>
                <w:smallCaps w:val="0"/>
                <w:color w:val="111111"/>
                <w:spacing w:val="8"/>
                <w:sz w:val="21"/>
                <w:szCs w:val="21"/>
              </w:rPr>
              <w:t>）注册。总之，与为期一个月的方案相比，</w:t>
            </w:r>
            <w:r>
              <w:rPr>
                <w:rStyle w:val="any"/>
                <w:rFonts w:ascii="Tahoma" w:eastAsia="Tahoma" w:hAnsi="Tahoma" w:cs="Tahoma"/>
                <w:b w:val="0"/>
                <w:bCs w:val="0"/>
                <w:i w:val="0"/>
                <w:iCs w:val="0"/>
                <w:caps w:val="0"/>
                <w:smallCaps w:val="0"/>
                <w:color w:val="111111"/>
                <w:spacing w:val="8"/>
                <w:sz w:val="21"/>
                <w:szCs w:val="21"/>
              </w:rPr>
              <w:t>COH</w:t>
            </w:r>
            <w:r>
              <w:rPr>
                <w:rStyle w:val="any"/>
                <w:rFonts w:ascii="PMingLiU" w:eastAsia="PMingLiU" w:hAnsi="PMingLiU" w:cs="PMingLiU"/>
                <w:b w:val="0"/>
                <w:bCs w:val="0"/>
                <w:i w:val="0"/>
                <w:iCs w:val="0"/>
                <w:caps w:val="0"/>
                <w:smallCaps w:val="0"/>
                <w:color w:val="111111"/>
                <w:spacing w:val="8"/>
                <w:sz w:val="21"/>
                <w:szCs w:val="21"/>
              </w:rPr>
              <w:t>中</w:t>
            </w:r>
            <w:r>
              <w:rPr>
                <w:rStyle w:val="any"/>
                <w:rFonts w:ascii="Tahoma" w:eastAsia="Tahoma" w:hAnsi="Tahoma" w:cs="Tahoma"/>
                <w:b w:val="0"/>
                <w:bCs w:val="0"/>
                <w:i w:val="0"/>
                <w:iCs w:val="0"/>
                <w:caps w:val="0"/>
                <w:smallCaps w:val="0"/>
                <w:color w:val="111111"/>
                <w:spacing w:val="8"/>
                <w:sz w:val="21"/>
                <w:szCs w:val="21"/>
              </w:rPr>
              <w:t>MPA</w:t>
            </w:r>
            <w:r>
              <w:rPr>
                <w:rStyle w:val="any"/>
                <w:rFonts w:ascii="PMingLiU" w:eastAsia="PMingLiU" w:hAnsi="PMingLiU" w:cs="PMingLiU"/>
                <w:b w:val="0"/>
                <w:bCs w:val="0"/>
                <w:i w:val="0"/>
                <w:iCs w:val="0"/>
                <w:caps w:val="0"/>
                <w:smallCaps w:val="0"/>
                <w:color w:val="111111"/>
                <w:spacing w:val="8"/>
                <w:sz w:val="21"/>
                <w:szCs w:val="21"/>
              </w:rPr>
              <w:t>的给药显示，接受</w:t>
            </w:r>
            <w:r>
              <w:rPr>
                <w:rStyle w:val="any"/>
                <w:rFonts w:ascii="Tahoma" w:eastAsia="Tahoma" w:hAnsi="Tahoma" w:cs="Tahoma"/>
                <w:b w:val="0"/>
                <w:bCs w:val="0"/>
                <w:i w:val="0"/>
                <w:iCs w:val="0"/>
                <w:caps w:val="0"/>
                <w:smallCaps w:val="0"/>
                <w:color w:val="111111"/>
                <w:spacing w:val="8"/>
                <w:sz w:val="21"/>
                <w:szCs w:val="21"/>
              </w:rPr>
              <w:t>IVF/ICSI</w:t>
            </w:r>
            <w:r>
              <w:rPr>
                <w:rStyle w:val="any"/>
                <w:rFonts w:ascii="PMingLiU" w:eastAsia="PMingLiU" w:hAnsi="PMingLiU" w:cs="PMingLiU"/>
                <w:b w:val="0"/>
                <w:bCs w:val="0"/>
                <w:i w:val="0"/>
                <w:iCs w:val="0"/>
                <w:caps w:val="0"/>
                <w:smallCaps w:val="0"/>
                <w:color w:val="111111"/>
                <w:spacing w:val="8"/>
                <w:sz w:val="21"/>
                <w:szCs w:val="21"/>
              </w:rPr>
              <w:t>的晚期卵巢子宫内膜异位症患者获得的卵母细胞数量相似，没有过早的</w:t>
            </w:r>
            <w:r>
              <w:rPr>
                <w:rStyle w:val="any"/>
                <w:rFonts w:ascii="Tahoma" w:eastAsia="Tahoma" w:hAnsi="Tahoma" w:cs="Tahoma"/>
                <w:b w:val="0"/>
                <w:bCs w:val="0"/>
                <w:i w:val="0"/>
                <w:iCs w:val="0"/>
                <w:caps w:val="0"/>
                <w:smallCaps w:val="0"/>
                <w:color w:val="111111"/>
                <w:spacing w:val="8"/>
                <w:sz w:val="21"/>
                <w:szCs w:val="21"/>
              </w:rPr>
              <w:t>LH</w:t>
            </w:r>
            <w:r>
              <w:rPr>
                <w:rStyle w:val="any"/>
                <w:rFonts w:ascii="PMingLiU" w:eastAsia="PMingLiU" w:hAnsi="PMingLiU" w:cs="PMingLiU"/>
                <w:b w:val="0"/>
                <w:bCs w:val="0"/>
                <w:i w:val="0"/>
                <w:iCs w:val="0"/>
                <w:caps w:val="0"/>
                <w:smallCaps w:val="0"/>
                <w:color w:val="111111"/>
                <w:spacing w:val="8"/>
                <w:sz w:val="21"/>
                <w:szCs w:val="21"/>
              </w:rPr>
              <w:t>激增，妊娠和活产结局相似。</w:t>
            </w:r>
            <w:r>
              <w:rPr>
                <w:rStyle w:val="any"/>
                <w:rFonts w:ascii="Tahoma" w:eastAsia="Tahoma" w:hAnsi="Tahoma" w:cs="Tahoma"/>
                <w:b w:val="0"/>
                <w:bCs w:val="0"/>
                <w:i w:val="0"/>
                <w:iCs w:val="0"/>
                <w:caps w:val="0"/>
                <w:smallCaps w:val="0"/>
                <w:color w:val="111111"/>
                <w:spacing w:val="8"/>
                <w:sz w:val="21"/>
                <w:szCs w:val="21"/>
              </w:rPr>
              <w:t>MPA</w:t>
            </w:r>
            <w:r>
              <w:rPr>
                <w:rStyle w:val="any"/>
                <w:rFonts w:ascii="PMingLiU" w:eastAsia="PMingLiU" w:hAnsi="PMingLiU" w:cs="PMingLiU"/>
                <w:b w:val="0"/>
                <w:bCs w:val="0"/>
                <w:i w:val="0"/>
                <w:iCs w:val="0"/>
                <w:caps w:val="0"/>
                <w:smallCaps w:val="0"/>
                <w:color w:val="111111"/>
                <w:spacing w:val="8"/>
                <w:sz w:val="21"/>
                <w:szCs w:val="21"/>
              </w:rPr>
              <w:t>在</w:t>
            </w:r>
            <w:r>
              <w:rPr>
                <w:rStyle w:val="any"/>
                <w:rFonts w:ascii="Tahoma" w:eastAsia="Tahoma" w:hAnsi="Tahoma" w:cs="Tahoma"/>
                <w:b w:val="0"/>
                <w:bCs w:val="0"/>
                <w:i w:val="0"/>
                <w:iCs w:val="0"/>
                <w:caps w:val="0"/>
                <w:smallCaps w:val="0"/>
                <w:color w:val="111111"/>
                <w:spacing w:val="8"/>
                <w:sz w:val="21"/>
                <w:szCs w:val="21"/>
              </w:rPr>
              <w:t>COH</w:t>
            </w:r>
            <w:r>
              <w:rPr>
                <w:rStyle w:val="any"/>
                <w:rFonts w:ascii="PMingLiU" w:eastAsia="PMingLiU" w:hAnsi="PMingLiU" w:cs="PMingLiU"/>
                <w:b w:val="0"/>
                <w:bCs w:val="0"/>
                <w:i w:val="0"/>
                <w:iCs w:val="0"/>
                <w:caps w:val="0"/>
                <w:smallCaps w:val="0"/>
                <w:color w:val="111111"/>
                <w:spacing w:val="8"/>
                <w:sz w:val="21"/>
                <w:szCs w:val="21"/>
              </w:rPr>
              <w:t>中的应用似乎很有前景，尽管许多问题仍有待阐明，包括孕激素的剂量和时间启动及其对卵母细胞发育潜力和微环境的可能影响。鉴于其良好的耐受性、很少的代谢影响和低成本，孕激素为子宫内膜异位症患者提供了一种传统方案的新替代方案。</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上海交通大学医学院附属第九人民医院辅助生殖科；上海交通大学中国医院发展研究院专业战略研究中心，上海，</w:t>
            </w:r>
            <w:r>
              <w:rPr>
                <w:rStyle w:val="any"/>
                <w:b w:val="0"/>
                <w:bCs w:val="0"/>
                <w:i w:val="0"/>
                <w:iCs w:val="0"/>
                <w:caps w:val="0"/>
                <w:smallCaps w:val="0"/>
                <w:color w:val="111111"/>
                <w:spacing w:val="8"/>
                <w:sz w:val="21"/>
                <w:szCs w:val="21"/>
              </w:rPr>
              <w:t>200011</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上海交通大学医学院附属第九人民医院辅助生殖科；上海交通大学中国医院发展研究院专业战略研究中心，上海，</w:t>
            </w:r>
            <w:r>
              <w:rPr>
                <w:rStyle w:val="any"/>
                <w:b w:val="0"/>
                <w:bCs w:val="0"/>
                <w:i w:val="0"/>
                <w:iCs w:val="0"/>
                <w:caps w:val="0"/>
                <w:smallCaps w:val="0"/>
                <w:color w:val="111111"/>
                <w:spacing w:val="8"/>
                <w:sz w:val="21"/>
                <w:szCs w:val="21"/>
              </w:rPr>
              <w:t>200011</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Reprod Health</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文本重大重复，作者不知情发表</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主编撤回了这篇文章，因为它与同一作者组的另一篇文章</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有很大重叠。</w:t>
            </w:r>
            <w:r>
              <w:rPr>
                <w:rStyle w:val="any"/>
                <w:rFonts w:ascii="宋体" w:eastAsia="宋体" w:hAnsi="宋体" w:cs="宋体"/>
                <w:b w:val="0"/>
                <w:bCs w:val="0"/>
                <w:i w:val="0"/>
                <w:iCs w:val="0"/>
                <w:caps w:val="0"/>
                <w:smallCaps w:val="0"/>
                <w:color w:val="111111"/>
                <w:spacing w:val="8"/>
                <w:sz w:val="21"/>
                <w:szCs w:val="21"/>
              </w:rPr>
              <w:t>作者</w:t>
            </w:r>
            <w:r>
              <w:rPr>
                <w:rStyle w:val="any"/>
                <w:rFonts w:ascii="PMingLiU" w:eastAsia="PMingLiU" w:hAnsi="PMingLiU" w:cs="PMingLiU"/>
                <w:b w:val="0"/>
                <w:bCs w:val="0"/>
                <w:i w:val="0"/>
                <w:iCs w:val="0"/>
                <w:caps w:val="0"/>
                <w:smallCaps w:val="0"/>
                <w:color w:val="111111"/>
                <w:spacing w:val="8"/>
                <w:sz w:val="21"/>
                <w:szCs w:val="21"/>
              </w:rPr>
              <w:t>尚未回复出版商关于此次撤回的信件。</w:t>
            </w:r>
            <w:r>
              <w:rPr>
                <w:rStyle w:val="any"/>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表示，他们不知道这篇文章的提交，也没有参与这项研究。</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2552" cy="179708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336688" name=""/>
                          <pic:cNvPicPr>
                            <a:picLocks noChangeAspect="1"/>
                          </pic:cNvPicPr>
                        </pic:nvPicPr>
                        <pic:blipFill>
                          <a:blip xmlns:r="http://schemas.openxmlformats.org/officeDocument/2006/relationships" r:embed="rId7"/>
                          <a:stretch>
                            <a:fillRect/>
                          </a:stretch>
                        </pic:blipFill>
                        <pic:spPr>
                          <a:xfrm>
                            <a:off x="0" y="0"/>
                            <a:ext cx="3652552" cy="17970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313" cy="171707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848300" name=""/>
                          <pic:cNvPicPr>
                            <a:picLocks noChangeAspect="1"/>
                          </pic:cNvPicPr>
                        </pic:nvPicPr>
                        <pic:blipFill>
                          <a:blip xmlns:r="http://schemas.openxmlformats.org/officeDocument/2006/relationships" r:embed="rId8"/>
                          <a:stretch>
                            <a:fillRect/>
                          </a:stretch>
                        </pic:blipFill>
                        <pic:spPr>
                          <a:xfrm>
                            <a:off x="0" y="0"/>
                            <a:ext cx="3651313" cy="171707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97799"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110874" name=""/>
                    <pic:cNvPicPr>
                      <a:picLocks noChangeAspect="1"/>
                    </pic:cNvPicPr>
                  </pic:nvPicPr>
                  <pic:blipFill>
                    <a:blip xmlns:r="http://schemas.openxmlformats.org/officeDocument/2006/relationships" r:embed="rId10"/>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528293"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851&amp;idx=1&amp;sn=6271855322b873f8234cec38df4ff419&amp;chksm=c06f5ad725f21c82f1282791f1c1a9b061e6b3b8c2a9c0bad2d6ea30544386abff2d806c511b&amp;scene=126&amp;sessionid=174231600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