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吉林大学第二医院心内科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Oncotarget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论文多图雷同他人撤回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copyrightlogo"/>
          <w:rFonts w:ascii="Times New Roman" w:eastAsia="Times New Roman" w:hAnsi="Times New Roman" w:cs="Times New Roman"/>
          <w:spacing w:val="8"/>
          <w:sz w:val="23"/>
          <w:szCs w:val="23"/>
        </w:rPr>
        <w:t>  </w:t>
      </w:r>
      <w:r>
        <w:rPr>
          <w:rStyle w:val="richmediameta"/>
          <w:rFonts w:ascii="PMingLiU" w:eastAsia="PMingLiU" w:hAnsi="PMingLiU" w:cs="PMingLiU"/>
          <w:color w:val="A5A5A5"/>
          <w:spacing w:val="8"/>
        </w:rPr>
        <w:t>碰到撤稿不用慌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碰到撤稿不用慌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2025-03-15 16:31:53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</w:t>
      </w:r>
      <w:r>
        <w:rPr>
          <w:rStyle w:val="any"/>
          <w:rFonts w:ascii="黑体" w:eastAsia="黑体" w:hAnsi="黑体" w:cs="黑体"/>
          <w:b/>
          <w:bCs/>
          <w:caps w:val="0"/>
          <w:smallCaps w:val="0"/>
          <w:color w:val="FF0000"/>
          <w:spacing w:val="8"/>
          <w:sz w:val="36"/>
          <w:szCs w:val="36"/>
        </w:rPr>
        <w:t xml:space="preserve"> </w:t>
      </w:r>
      <w:r>
        <w:rPr>
          <w:rStyle w:val="any"/>
          <w:rFonts w:ascii="Calibri" w:eastAsia="Calibri" w:hAnsi="Calibri" w:cs="Calibri"/>
          <w:b/>
          <w:bCs/>
          <w:caps w:val="0"/>
          <w:smallCaps w:val="0"/>
          <w:color w:val="FF0000"/>
          <w:spacing w:val="8"/>
          <w:sz w:val="36"/>
          <w:szCs w:val="36"/>
        </w:rPr>
        <w:t>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tbl>
      <w:tblPr>
        <w:tblStyle w:val="table"/>
        <w:tblW w:w="5000" w:type="pct"/>
        <w:tblInd w:w="455" w:type="dxa"/>
        <w:tblCellMar>
          <w:top w:w="0" w:type="dxa"/>
          <w:left w:w="0" w:type="dxa"/>
          <w:bottom w:w="0" w:type="dxa"/>
          <w:right w:w="0" w:type="dxa"/>
        </w:tblCellMar>
        <w:tblLook w:val="05E0"/>
      </w:tblPr>
      <w:tblGrid>
        <w:gridCol w:w="2609"/>
        <w:gridCol w:w="19680"/>
      </w:tblGrid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2189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</w:t>
            </w: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 xml:space="preserve"> </w:t>
            </w:r>
            <w:r>
              <w:rPr>
                <w:rStyle w:val="any"/>
                <w:rFonts w:ascii="Calibri" w:eastAsia="Calibri" w:hAnsi="Calibri" w:cs="Calibri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sz w:val="21"/>
                <w:szCs w:val="21"/>
                <w:u w:val="none"/>
              </w:rPr>
              <w:drawing>
                <wp:inline>
                  <wp:extent cx="5274373" cy="981742"/>
                  <wp:docPr id="100001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594901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73" cy="981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84"/>
        </w:trPr>
        <w:tc>
          <w:tcPr>
            <w:tcW w:w="8820" w:type="dxa"/>
            <w:gridSpan w:val="2"/>
            <w:noWrap w:val="0"/>
            <w:tcMar>
              <w:top w:w="80" w:type="dxa"/>
              <w:left w:w="155" w:type="dxa"/>
              <w:bottom w:w="80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/>
                <w:bCs/>
                <w:i w:val="0"/>
                <w:iCs w:val="0"/>
                <w:caps w:val="0"/>
                <w:smallCaps w:val="0"/>
                <w:color w:val="111111"/>
                <w:spacing w:val="8"/>
                <w:sz w:val="28"/>
                <w:szCs w:val="28"/>
              </w:rPr>
              <w:t>吉林大学第二医院心内科</w:t>
            </w:r>
            <w:r>
              <w:rPr>
                <w:rStyle w:val="any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Oncotarget</w:t>
            </w: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</w:rPr>
              <w:t>论文多图雷同他人撤回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8820" w:type="dxa"/>
            <w:gridSpan w:val="2"/>
            <w:tcBorders>
              <w:bottom w:val="single" w:sz="8" w:space="0" w:color="DDDDDD"/>
            </w:tcBorders>
            <w:noWrap w:val="0"/>
            <w:tcMar>
              <w:top w:w="80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论 文 概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87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论文题目（英文）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Heading1"/>
              <w:keepNext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hAnsi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kern w:val="36"/>
                <w:sz w:val="21"/>
                <w:szCs w:val="21"/>
              </w:rPr>
              <w:t>Down-regulation of microRNA-320 suppresses cardiomyocyte apoptosis and protects against myocardial ischemia and reperfusion injury by targeting IGF-1 </w:t>
            </w: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  <w:kern w:val="36"/>
                <w:sz w:val="24"/>
                <w:szCs w:val="24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论文题目（中文）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下调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microRNA-320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抑制心肌细胞凋亡，并通过靶向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IGF-1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保护心肌缺血和再灌注损伤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043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论文内容概要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胰岛素样生长因子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IGF-1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）是心肌细胞稳态和心脏结构的重要调节因子，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IGF-1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的促存活和抗凋亡作用已被研究。然而，很少讨论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microRNA-320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miR-320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）通过靶向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IGF-1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在缺血再灌注（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I/R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）中的作用。我们研究了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miR-320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在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I/R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损伤中的作用。将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192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只健康雌性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Wistar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大鼠分为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n=24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）。建立大鼠心脏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I/R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模型。测量血流动力学、梗死面积重量（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ISW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）、心功能和大鼠心肌细胞凋亡。大鼠心肌细胞缺氧复氧（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H/R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）用于模拟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I/R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过程。检测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miR-320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IGF-1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水平，以及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IGF-1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IGF-1R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p-IGF-1R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p-ASK1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p-JNK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p-p38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Caspase-3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的蛋白质水平。与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I/R+NC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组相比，体内抑制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miR-320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表达显著增加了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IGF-1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IGF-1R 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水平，升高了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SBP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DBP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MAP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±dp/dtmax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LVEF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LVFS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的绝对值，降低了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ISW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LVESD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LVEDd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以及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TUNEL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阳性细胞的数量，降低了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p-ASK1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p-JNK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p-p38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Caspase-3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的水平，增加了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的表达。与体外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H/R+NC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组相比，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miR-320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抑制增加了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IGF-1 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水平，抑制了心肌细胞凋亡，下调了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p-ASK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p-JNK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p-p38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Bax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Caspase-3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水平，上调了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Bcl-2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水平。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MiR-320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抑制靶向提高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IGF-1 mRNA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和蛋白水平，抑制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I/R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早期心肌细胞凋亡，抑制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ASK1-JNK/p38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通路，为</w:t>
            </w:r>
            <w:r>
              <w:rPr>
                <w:rStyle w:val="any"/>
                <w:rFonts w:ascii="Tahoma" w:eastAsia="Tahoma" w:hAnsi="Tahoma" w:cs="Tahoma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I/R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损伤的临床研究提供了新的靶点。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79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作者信息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隐去，不公布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404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单位信息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吉林大学第二医院心内科，长春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8820" w:type="dxa"/>
            <w:gridSpan w:val="2"/>
            <w:tcBorders>
              <w:top w:val="single" w:sz="8" w:space="0" w:color="DDDDDD"/>
              <w:bottom w:val="single" w:sz="8" w:space="0" w:color="DDDDDD"/>
            </w:tcBorders>
            <w:noWrap w:val="0"/>
            <w:tcMar>
              <w:top w:w="85" w:type="dxa"/>
              <w:left w:w="155" w:type="dxa"/>
              <w:bottom w:w="85" w:type="dxa"/>
              <w:right w:w="155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center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黑体" w:eastAsia="黑体" w:hAnsi="黑体" w:cs="黑体"/>
                <w:b/>
                <w:bCs/>
                <w:i w:val="0"/>
                <w:iCs w:val="0"/>
                <w:caps w:val="0"/>
                <w:smallCaps w:val="0"/>
                <w:color w:val="11428A"/>
                <w:spacing w:val="8"/>
                <w:sz w:val="30"/>
                <w:szCs w:val="30"/>
                <w:vertAlign w:val="baseline"/>
              </w:rPr>
              <w:t>具 体 撤 稿 情 况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38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撤稿杂志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</w:rPr>
              <w:t>Oncotarget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61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撤稿原因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1"/>
                <w:szCs w:val="21"/>
                <w:vertAlign w:val="baseline"/>
              </w:rPr>
              <w:t>多图雷同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292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 w:line="360" w:lineRule="auto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Oncotarget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已经完成了对这篇文章的调查。发现了几个内部和外部图像重叠和重复的实例。具体来说，图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2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显示了不同病毒转导到心肌组织的效率，其中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部分有重叠。图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显示了流式细胞术的数据，有两个重复的图像，应该代表不同的实验条件。图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还有图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4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中一篇无关的早期发表论文的图像，该论文已被撤回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[1]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，图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3A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为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[2]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。图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6C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、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8A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b-actin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的蛋白质印迹图像出现在早期发表的论文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[3]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和同时发表的论文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[4]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中。此外，已经撤回的论文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[5]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与图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7C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和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9A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共享了蛋白质印迹图像。虽然通讯作者提供了更正后的图</w:t>
            </w:r>
            <w:r>
              <w:rPr>
                <w:rStyle w:val="any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7</w:t>
            </w:r>
            <w:r>
              <w:rPr>
                <w:rStyle w:val="any"/>
                <w:rFonts w:ascii="PMingLiU" w:eastAsia="PMingLiU" w:hAnsi="PMingLiU" w:cs="PMingLiU"/>
                <w:b w:val="0"/>
                <w:bCs w:val="0"/>
                <w:i w:val="0"/>
                <w:iCs w:val="0"/>
                <w:caps w:val="0"/>
                <w:smallCaps w:val="0"/>
                <w:color w:val="111111"/>
                <w:spacing w:val="8"/>
                <w:sz w:val="21"/>
                <w:szCs w:val="21"/>
              </w:rPr>
              <w:t>，但其他问题仍未得到解决。此外，作者指出了尚未解决的作者争议，并要求撤回手稿。吉林大学第二医院也承认了这一撤回请求。鉴于这些发现和作者争议，编辑决定撤回该论文。所有作者都同意这一决定。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</w:tc>
      </w:tr>
      <w:tr>
        <w:tblPrEx>
          <w:tblW w:w="5000" w:type="pct"/>
          <w:tblInd w:w="455" w:type="dxa"/>
          <w:tblCellMar>
            <w:top w:w="0" w:type="dxa"/>
            <w:left w:w="0" w:type="dxa"/>
            <w:bottom w:w="0" w:type="dxa"/>
            <w:right w:w="0" w:type="dxa"/>
          </w:tblCellMar>
          <w:tblLook w:val="05E0"/>
        </w:tblPrEx>
        <w:trPr>
          <w:trHeight w:val="6586"/>
        </w:trPr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宋体" w:eastAsia="宋体" w:hAnsi="宋体" w:cs="宋体"/>
                <w:b/>
                <w:bCs/>
                <w:i w:val="0"/>
                <w:iCs w:val="0"/>
                <w:caps w:val="0"/>
                <w:smallCaps w:val="0"/>
                <w:color w:val="000000"/>
                <w:spacing w:val="8"/>
                <w:sz w:val="28"/>
                <w:szCs w:val="28"/>
                <w:vertAlign w:val="baseline"/>
              </w:rPr>
              <w:t>撤稿声明图片</w:t>
            </w: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       </w:t>
            </w:r>
          </w:p>
        </w:tc>
        <w:tc>
          <w:tcPr>
            <w:tcW w:w="6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 w:val="0"/>
            <w:tcMar>
              <w:top w:w="85" w:type="dxa"/>
              <w:left w:w="160" w:type="dxa"/>
              <w:bottom w:w="85" w:type="dxa"/>
              <w:right w:w="160" w:type="dxa"/>
            </w:tcMar>
            <w:vAlign w:val="top"/>
            <w:hideMark/>
          </w:tcPr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1313" cy="1406557"/>
                  <wp:docPr id="100002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5293115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1313" cy="14065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color w:val="000000"/>
                <w:spacing w:val="8"/>
                <w:vertAlign w:val="baseline"/>
              </w:rPr>
              <w:t>                 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/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  <w:t> </w:t>
            </w:r>
          </w:p>
          <w:p>
            <w:pPr>
              <w:pStyle w:val="p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before="0" w:after="0"/>
              <w:ind w:left="0" w:right="0" w:firstLine="0"/>
              <w:jc w:val="left"/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smallCaps w:val="0"/>
                <w:color w:val="000000"/>
                <w:spacing w:val="8"/>
              </w:rPr>
            </w:pPr>
            <w:r>
              <w:rPr>
                <w:rStyle w:val="any"/>
                <w:rFonts w:ascii="Calibri" w:eastAsia="Calibri" w:hAnsi="Calibri" w:cs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color w:val="000000"/>
                <w:spacing w:val="8"/>
                <w:u w:val="none"/>
                <w:vertAlign w:val="baseline"/>
              </w:rPr>
              <w:drawing>
                <wp:inline>
                  <wp:extent cx="3658933" cy="1144905"/>
                  <wp:docPr id="100003" nam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008544" name=""/>
                          <pic:cNvPicPr>
                            <a:picLocks noChangeAspect="1"/>
                          </pic:cNvPicPr>
                        </pic:nvPicPr>
                        <pic:blipFill>
                          <a:blip xmlns:r="http://schemas.openxmlformats.org/officeDocument/2006/relationships"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8933" cy="1144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1920904" cy="95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57686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904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  <w:lang w:val="en-US" w:eastAsia="en-US"/>
        </w:rPr>
        <w:t>       </w:t>
      </w: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           </w:t>
      </w:r>
      <w:r>
        <w:rPr>
          <w:rStyle w:val="any"/>
          <w:b w:val="0"/>
          <w:bCs w:val="0"/>
          <w:caps w:val="0"/>
          <w:smallCaps w:val="0"/>
          <w:spacing w:val="8"/>
        </w:rPr>
        <w:t>END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trike w:val="0"/>
          <w:spacing w:val="8"/>
          <w:u w:val="none"/>
        </w:rPr>
        <w:drawing>
          <wp:inline>
            <wp:extent cx="3883723" cy="2103787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7867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883723" cy="210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</w:rPr>
        <w:t>碰到撤稿不用慌，专注于提供论文撤稿危机公关服务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336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594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strike w:val="0"/>
          <w:spacing w:val="8"/>
          <w:u w:val="none"/>
        </w:rPr>
        <w:drawing>
          <wp:inline>
            <wp:extent cx="58489" cy="1351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332914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489" cy="135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宋体" w:eastAsia="宋体" w:hAnsi="宋体" w:cs="宋体"/>
          <w:b w:val="0"/>
          <w:bCs w:val="0"/>
          <w:caps w:val="0"/>
          <w:smallCaps w:val="0"/>
          <w:color w:val="FF0000"/>
          <w:spacing w:val="8"/>
          <w:sz w:val="18"/>
          <w:szCs w:val="18"/>
        </w:rPr>
        <w:t>觉得本文好看，请点击这里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center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/>
        <w:ind w:left="300" w:right="300" w:firstLine="0"/>
        <w:jc w:val="left"/>
        <w:rPr>
          <w:rStyle w:val="any"/>
          <w:rFonts w:ascii="Calibri" w:eastAsia="Calibri" w:hAnsi="Calibri" w:cs="Calibri"/>
          <w:b w:val="0"/>
          <w:bCs w:val="0"/>
          <w:spacing w:val="8"/>
        </w:rPr>
      </w:pPr>
      <w:r>
        <w:rPr>
          <w:rStyle w:val="any"/>
          <w:rFonts w:ascii="Calibri" w:eastAsia="Calibri" w:hAnsi="Calibri" w:cs="Calibri"/>
          <w:b w:val="0"/>
          <w:bCs w:val="0"/>
          <w:caps w:val="0"/>
          <w:smallCaps w:val="0"/>
          <w:spacing w:val="8"/>
        </w:rPr>
        <w:t>      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</w:t>
      </w:r>
    </w:p>
    <w:p>
      <w:pPr>
        <w:spacing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table" w:customStyle="1" w:styleId="table">
    <w:name w:val="table"/>
    <w:basedOn w:val="TableNormal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MjY5MDc0MQ==&amp;mid=2247493801&amp;idx=1&amp;sn=f40ac9610decc19430ddd07418fefa26&amp;chksm=c08bebe6cf1ffcf37ef9670e238e4456b76010d43acc3ba0faffc76cdc0b2506cabafc81a4be&amp;scene=126&amp;sessionid=174231600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