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上海市第十人民医院泌尿外科高分论文遭质疑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21:03:27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同济大学医学院附属上海市第十人民医院泌尿外科，华中科技大学同济医学院附属同济医院泌尿外科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Experimental &amp; Clinical Cancer Research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2019年8月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NR1B2 suppress kidney renal clear cell carcinoma (KIRC) progression by regulation of LATS 1/2-YAP signaling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10.1186/s13046-019-1344-3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Lei Yin , Wenjia Li , Guangchun Wang , Heng Shi , Keyi Wang , Huan Yang （通讯作者，音译杨欢）, Bo Peng （通讯作者，音译彭波）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273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40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0171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40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以下基金的资助：国家自然科学基金（项目编号：31670772、81870517、81500534）、上海市自然科学基金（项目编号：18140900302）、高等学校博士学科点专项科研基金（项目编号：20130142120072）以及华中科技大学创新基金（项目编号：1802030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688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52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7439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31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67151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99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https://pubpeer.com/publications/0CCA45713A482DFB5CBBEB81C0BEA6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22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579&amp;idx=1&amp;sn=4a789f0ef58e9f285a5022aed3884a7e&amp;chksm=c213f911deef2e1e004ad995efb42669dc1e831b38b2d910e6a40b4d5702d0ab4b9a9e5a3946&amp;scene=126&amp;sessionid=17423173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