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中国医科大学附属盛京医院产科主任陷学术丑闻：论文因数据问题被撤回！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‘The role of Zeb1 in the pathogenesis of morbidly adherent placenta’ Zeb1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在病理性粘连胎盘发病机制中的作用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10.3892/mmr.2019.10490</w:t>
      </w:r>
      <w:r>
        <w:rPr>
          <w:rStyle w:val="any"/>
          <w:rFonts w:ascii="PMingLiU" w:eastAsia="PMingLiU" w:hAnsi="PMingLiU" w:cs="PMingLiU"/>
          <w:spacing w:val="8"/>
        </w:rPr>
        <w:t>）的研究因数据重复问题被撤稿。该研究由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Na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Tian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Wenqian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Hao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Chong Qiao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（通讯作者，产科主任）共同完成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通讯单位为中国医科大学附属盛京医院妇产科。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82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2C, 3C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09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"miR-489 promotes apoptosis and inhibits invasiveness of glioma cells by targeting PAK5/RAF1 signaling pathways" (Wang et al 2019) [</w:t>
      </w:r>
      <w:r>
        <w:rPr>
          <w:rStyle w:val="any"/>
          <w:rFonts w:ascii="PMingLiU" w:eastAsia="PMingLiU" w:hAnsi="PMingLiU" w:cs="PMingLiU"/>
          <w:spacing w:val="8"/>
        </w:rPr>
        <w:t>已撤稿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6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2C, 5B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"LncRNA HAND2-AS1 exerts anti-oncogenic efects on bladder cancer via restoration of RARB as a sponge of microRNA-146" (Shan et al 2021)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6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4F,G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"Sulfated polysaccharide of Sepiella maindroni ink targets Akt and overcomes resistance to the FGFR inhibitor AZD4547 in bladder cancer" (Shan et al 2019)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7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17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在本论文发表后，一位关注的读者向编辑反映，论文第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2817 </w:t>
      </w:r>
      <w:r>
        <w:rPr>
          <w:rStyle w:val="any"/>
          <w:rFonts w:ascii="PMingLiU" w:eastAsia="PMingLiU" w:hAnsi="PMingLiU" w:cs="PMingLiU"/>
          <w:spacing w:val="8"/>
        </w:rPr>
        <w:t>页和第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2818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中展示的某些流式细胞术分析数据与另一篇论文中的数据惊人相似。而该论文是由不同研究机构的不同作者撰写的，并已提交发表。由于上述文章中的相关数据在提交至《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》之前，就已经在另一篇论文中被考虑发表，编辑决定将该论文从期刊中撤回。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编辑部曾要求作者对此问题作出解释，但未收到任何回复。编辑对给读者带来的任何不便表示歉意。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60553238520020992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2&amp;sn=48cfdd811892efe2800442263be3d8d8&amp;chksm=c350d660af30ec3c74d7046e31c9af993f2ee0c42e7b6dda8f39658954b62e702f513bb845c9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