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28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85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14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1eb711c0666ac3072417d528445c4c564c2b80da799f7d0f9434aec68a4371f9989cee6a6b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