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西南交通大学生命科学与工程学院黄新河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Translational Cancer Research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2025-03-11 00:05:43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尊敬的各位作者：，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我们在您的一个数字中发现了意外的重叠（见下图）。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3144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421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我们将通知出版商解决此问题。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亲切问候，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Rene Aquarius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https://tcr.amegroups.org/article/view/51837/html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193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2224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黄新河，男，博士，副教授（海外引进人才），硕士生导师。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2007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月获四川大学生物化学与分子生物学专业博士学位（博士生导师：杜林方教授）；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2007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月进入中科院成都生物研究所微生物研究中心任助理研究员（合作导师：谭红研究员）；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月赴美，在肯塔基大学（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University of Kentucky</w:t>
      </w:r>
      <w:r>
        <w:rPr>
          <w:rStyle w:val="any"/>
          <w:rFonts w:ascii="PMingLiU" w:eastAsia="PMingLiU" w:hAnsi="PMingLiU" w:cs="PMingLiU"/>
          <w:spacing w:val="8"/>
        </w:rPr>
        <w:t>）医学院生物化学与分子生物系从事博士后研究（合作导师：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Dr. Robert C. Dickson</w:t>
      </w:r>
      <w:r>
        <w:rPr>
          <w:rStyle w:val="any"/>
          <w:rFonts w:ascii="PMingLiU" w:eastAsia="PMingLiU" w:hAnsi="PMingLiU" w:cs="PMingLiU"/>
          <w:spacing w:val="8"/>
        </w:rPr>
        <w:t>），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月晋升为助理研究员（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Research Associate</w:t>
      </w:r>
      <w:r>
        <w:rPr>
          <w:rStyle w:val="any"/>
          <w:rFonts w:ascii="PMingLiU" w:eastAsia="PMingLiU" w:hAnsi="PMingLiU" w:cs="PMingLiU"/>
          <w:spacing w:val="8"/>
        </w:rPr>
        <w:t>）；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月作为海外引进人才入职西南交通大学生命科学与工程学院，任副教授，硕士生导师。课题组长期从事衰老及衰老相关疾病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(</w:t>
      </w:r>
      <w:r>
        <w:rPr>
          <w:rStyle w:val="any"/>
          <w:rFonts w:ascii="PMingLiU" w:eastAsia="PMingLiU" w:hAnsi="PMingLiU" w:cs="PMingLiU"/>
          <w:spacing w:val="8"/>
        </w:rPr>
        <w:t>主要集中在神经退行性疾病及部分癌症等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)</w:t>
      </w:r>
      <w:r>
        <w:rPr>
          <w:rStyle w:val="any"/>
          <w:rFonts w:ascii="PMingLiU" w:eastAsia="PMingLiU" w:hAnsi="PMingLiU" w:cs="PMingLiU"/>
          <w:spacing w:val="8"/>
        </w:rPr>
        <w:t>的理论和应用研究，以阐明生物体衰老及衰老相关疾病发生发展的分子机制，进而研发抗衰老及衰老相关疾病发生发展的活性分子、治疗策略及功能产品。近年来承担国家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横向合作等各类科研项目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余项，在国内外学术刊物上发表相关论文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50</w:t>
      </w:r>
      <w:r>
        <w:rPr>
          <w:rStyle w:val="any"/>
          <w:rFonts w:ascii="PMingLiU" w:eastAsia="PMingLiU" w:hAnsi="PMingLiU" w:cs="PMingLiU"/>
          <w:spacing w:val="8"/>
        </w:rPr>
        <w:t>余篇，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论文总影响因子超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100</w:t>
      </w:r>
      <w:r>
        <w:rPr>
          <w:rStyle w:val="any"/>
          <w:rFonts w:ascii="PMingLiU" w:eastAsia="PMingLiU" w:hAnsi="PMingLiU" w:cs="PMingLiU"/>
          <w:spacing w:val="8"/>
        </w:rPr>
        <w:t>，他引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1000</w:t>
      </w:r>
      <w:r>
        <w:rPr>
          <w:rStyle w:val="any"/>
          <w:rFonts w:ascii="PMingLiU" w:eastAsia="PMingLiU" w:hAnsi="PMingLiU" w:cs="PMingLiU"/>
          <w:spacing w:val="8"/>
        </w:rPr>
        <w:t>余次。申请发明专利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项，授权发明专利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项，成功转化发明专利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项。参编教材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部，专著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部。同时担任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Aging-US (IF=5.7), Journal of Gerontology: Biological Sciences (IF=6.1), Scientific Reports(IF=5.23), Experimental Gerontology (IF=4.0), Genes, Genomes, Genetics (IF=3.2)</w:t>
      </w:r>
      <w:r>
        <w:rPr>
          <w:rStyle w:val="any"/>
          <w:rFonts w:ascii="PMingLiU" w:eastAsia="PMingLiU" w:hAnsi="PMingLiU" w:cs="PMingLiU"/>
          <w:spacing w:val="8"/>
        </w:rPr>
        <w:t>等国际期刊审稿人。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https://pubpeer.com/publications/31FD04B2D33579E3848E75BC1C5138#1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499833&amp;idx=4&amp;sn=ee17ed0ae935fe80aeaf7dd678dec9d0&amp;chksm=c325b1b759dc265e66b71b3f20b5746018f4ee5fd71396b173ab13945e3bf663a01b2c54696d&amp;scene=126&amp;sessionid=174231716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