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2025-03-16 08:46:00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040573"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42&amp;idx=2&amp;sn=289d4a941e0235bf2b483763331f4bf5&amp;chksm=ce008c6138d6f5e0a3c1a1c31071e1073b81a3f76f246b6822076556431842ad5ec0c2ae44fc&amp;scene=126&amp;sessionid=17423164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