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2881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73749"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87317"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43077"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3076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051e587d9704aeb46a2fbd8cb2963284d194a7aedab65ab35800de9b5ca5775f8f32c7d4b4&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