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Nature: </w:t>
        </w:r>
        <w:r>
          <w:rPr>
            <w:rStyle w:val="a"/>
            <w:rFonts w:ascii="PMingLiU" w:eastAsia="PMingLiU" w:hAnsi="PMingLiU" w:cs="PMingLiU"/>
            <w:b w:val="0"/>
            <w:bCs w:val="0"/>
            <w:spacing w:val="8"/>
          </w:rPr>
          <w:t>最高人民法院呼吁对</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论文工厂</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活动展开打击</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Bik</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2025-03-08 23:00:26</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951555"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3E3E3E"/>
          <w:spacing w:val="8"/>
        </w:rPr>
        <w:t>中国最高人民法院近日呼吁对 “论文工厂” 活动展开打击。“论文工厂” 是指那些炮制造假或低质量稿件并售卖作者身份的企业。</w:t>
      </w:r>
      <w:r>
        <w:rPr>
          <w:rStyle w:val="any"/>
          <w:rFonts w:ascii="Microsoft YaHei UI" w:eastAsia="Microsoft YaHei UI" w:hAnsi="Microsoft YaHei UI" w:cs="Microsoft YaHei UI"/>
          <w:color w:val="3E3E3E"/>
          <w:spacing w:val="8"/>
        </w:rPr>
        <w:t>大连理工大学研究科研诚信政策的王飞指出，这是最高法院首次针对 “论文工厂” 及科研欺诈发布指导意见。</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69226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647461" name=""/>
                    <pic:cNvPicPr>
                      <a:picLocks noChangeAspect="1"/>
                    </pic:cNvPicPr>
                  </pic:nvPicPr>
                  <pic:blipFill>
                    <a:blip xmlns:r="http://schemas.openxmlformats.org/officeDocument/2006/relationships" r:embed="rId7"/>
                    <a:stretch>
                      <a:fillRect/>
                    </a:stretch>
                  </pic:blipFill>
                  <pic:spPr>
                    <a:xfrm>
                      <a:off x="0" y="0"/>
                      <a:ext cx="5486400" cy="369226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77368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700597" name=""/>
                    <pic:cNvPicPr>
                      <a:picLocks noChangeAspect="1"/>
                    </pic:cNvPicPr>
                  </pic:nvPicPr>
                  <pic:blipFill>
                    <a:blip xmlns:r="http://schemas.openxmlformats.org/officeDocument/2006/relationships" r:embed="rId8"/>
                    <a:stretch>
                      <a:fillRect/>
                    </a:stretch>
                  </pic:blipFill>
                  <pic:spPr>
                    <a:xfrm>
                      <a:off x="0" y="0"/>
                      <a:ext cx="5486400" cy="277368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3E3E3E"/>
          <w:spacing w:val="8"/>
        </w:rPr>
        <w:t>“论文工厂” 长期以来向希望用期刊文章美化简历的研究人员出售可疑研究成果和作者身份，在中国，其是科研不端行为的重要根源。上个月，最高人民法院公布了一套关于科技创新的指导意见，其中明确要求下级法院打击 “论文产业链”，对科研造假予以严惩。</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67778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137995" name=""/>
                    <pic:cNvPicPr>
                      <a:picLocks noChangeAspect="1"/>
                    </pic:cNvPicPr>
                  </pic:nvPicPr>
                  <pic:blipFill>
                    <a:blip xmlns:r="http://schemas.openxmlformats.org/officeDocument/2006/relationships" r:embed="rId9"/>
                    <a:stretch>
                      <a:fillRect/>
                    </a:stretch>
                  </pic:blipFill>
                  <pic:spPr>
                    <a:xfrm>
                      <a:off x="0" y="0"/>
                      <a:ext cx="5486400" cy="467778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过去十年间，中国政府已颁布众多法规政策，旨在阻止研究人员参与包括使用 “论文工厂” 服务在内的科研不端行为，研究机构也被要求对涉事研究人员进行调查惩处。但中国政法大学的律师兼刑事司法研究员尹波表示，“论文工厂” 依旧大量存在。</w:t>
      </w:r>
      <w:r>
        <w:rPr>
          <w:rStyle w:val="any"/>
          <w:rFonts w:ascii="Microsoft YaHei UI" w:eastAsia="Microsoft YaHei UI" w:hAnsi="Microsoft YaHei UI" w:cs="Microsoft YaHei UI"/>
          <w:b/>
          <w:bCs/>
          <w:color w:val="3E3E3E"/>
          <w:spacing w:val="8"/>
        </w:rPr>
        <w:t>加拿大卡尔加里大学研究中国科研诚信的唐耿炎称，“论文工厂” 在中国业务庞大、极为盛行。</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8194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888835" name=""/>
                    <pic:cNvPicPr>
                      <a:picLocks noChangeAspect="1"/>
                    </pic:cNvPicPr>
                  </pic:nvPicPr>
                  <pic:blipFill>
                    <a:blip xmlns:r="http://schemas.openxmlformats.org/officeDocument/2006/relationships" r:embed="rId10"/>
                    <a:stretch>
                      <a:fillRect/>
                    </a:stretch>
                  </pic:blipFill>
                  <pic:spPr>
                    <a:xfrm>
                      <a:off x="0" y="0"/>
                      <a:ext cx="5486400" cy="28194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3E3E3E"/>
          <w:spacing w:val="8"/>
        </w:rPr>
        <w:t>尹波还在北京师范大学开设科研诚信在线课程，他强调最高法院的指导意见意义重大，彰显了法院为构建更公平科研生态系统的决心。</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数据显示，涉及 “论文工厂” 的案件数量在下级法院呈上升趋势。唐耿炎通过公共法院判决数据库搜索发现，2013 年至 2024 年间有 41 起涉及代写服务的案件，其中不乏民事合同纠纷。</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3E3E3E"/>
          <w:spacing w:val="8"/>
        </w:rPr>
        <w:t>尹波称，为响应政府减少科研不端行为的目标，过去十年下级法院对涉及 “论文工厂” 案件的裁决方式发生明显变化。</w:t>
      </w:r>
      <w:r>
        <w:rPr>
          <w:rStyle w:val="any"/>
          <w:rFonts w:ascii="Microsoft YaHei UI" w:eastAsia="Microsoft YaHei UI" w:hAnsi="Microsoft YaHei UI" w:cs="Microsoft YaHei UI"/>
          <w:color w:val="3E3E3E"/>
          <w:spacing w:val="8"/>
        </w:rPr>
        <w:t>如今，法院认定与 “论文工厂” 签订的合同违反科研诚信标准及公平评估晋升制度，属于无效合同。如 2023 年一媒体公司销售人员在微信上向学者提供学术代写服务，约定费用和发表时间等，收取第一笔款项后却失联。学者将其告上法庭，法院判定该合同无效，公司需退款。</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通常情况下，“论文工厂” 多被要求退还研究人员支付的费用。但在涉及造假的刑事案件中，处罚更为严厉，包括罚款甚至监禁。</w:t>
      </w:r>
      <w:r>
        <w:rPr>
          <w:rStyle w:val="any"/>
          <w:rFonts w:ascii="Microsoft YaHei UI" w:eastAsia="Microsoft YaHei UI" w:hAnsi="Microsoft YaHei UI" w:cs="Microsoft YaHei UI"/>
          <w:b/>
          <w:bCs/>
          <w:color w:val="3E3E3E"/>
          <w:spacing w:val="8"/>
        </w:rPr>
        <w:t>王飞认为，鉴于最高法院指导意见措辞严厉，中国的 “论文工厂” 未来将面临更严峻的惩罚。</w:t>
      </w:r>
    </w:p>
    <w:p>
      <w:pPr>
        <w:widowControl/>
        <w:spacing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https://www.nature.com/articles/d41586-025-00612-3</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https://www.nature.com/articles/d41586-021-02587-3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733399" name=""/>
                    <pic:cNvPicPr>
                      <a:picLocks noChangeAspect="1"/>
                    </pic:cNvPicPr>
                  </pic:nvPicPr>
                  <pic:blipFill>
                    <a:blip xmlns:r="http://schemas.openxmlformats.org/officeDocument/2006/relationships" r:embed="rId11"/>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187&amp;idx=1&amp;sn=758953a0ae413907b61d46d6df0cd6f2&amp;chksm=c2f227c33d0567915a8d3945bbf87ab9ee5afe7f2b91ba1011c9e270b8cd9b51136f1cdc3bc5&amp;scene=126&amp;sessionid=174222927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