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06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f42ea452ba31d0abdb05145efe04cf875922043de4db0f93fab808e9e4748e2dcbc57131ec&amp;scene=126&amp;sessionid=17422300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