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存在疑似撞图其他篇论文及多组图像重复问题！吉林大学第二医院论文研究遭撤稿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09:12:14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(2016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"Down-regulation of microRNA-320 suppresses cardiomyocyte apoptosis and protects against myocardial ischemia and reperfusion injury by targeting IGF-1 “microRNA-320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下调通过靶向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IGF-1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抑制心肌细胞凋亡并防止心肌缺血再灌注损伤（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10.18632/oncotarget.9240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“A.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转染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miR-320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抑制剂过表达的心肌细胞；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B.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转染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miR-320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模拟物的心肌细胞；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C.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转染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ad-IGF-1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的心肌细胞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”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。标记重叠。请注意，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C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相对于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A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B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垂直翻转等问题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。该论文由来自吉林大学第二医院心脏内科的作者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Chun-Li Song , Bin Liu , Hong-Ying Diao , Yong-Feng Shi , Ji-Chang Zhang , Yang-Xue Li , Ning Liu , Yun-Peng Yu , Guan Wang , Jin-Peng Wang , Qian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Chun-Li Song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（吉林大学第二医院心脏内科）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1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02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“A.</w:t>
      </w:r>
      <w:r>
        <w:rPr>
          <w:rStyle w:val="any"/>
          <w:rFonts w:ascii="PMingLiU" w:eastAsia="PMingLiU" w:hAnsi="PMingLiU" w:cs="PMingLiU"/>
          <w:spacing w:val="8"/>
        </w:rPr>
        <w:t>转染</w:t>
      </w:r>
      <w:r>
        <w:rPr>
          <w:rStyle w:val="any"/>
          <w:rFonts w:ascii="Times New Roman" w:eastAsia="Times New Roman" w:hAnsi="Times New Roman" w:cs="Times New Roman"/>
          <w:spacing w:val="8"/>
        </w:rPr>
        <w:t>miR-320</w:t>
      </w:r>
      <w:r>
        <w:rPr>
          <w:rStyle w:val="any"/>
          <w:rFonts w:ascii="PMingLiU" w:eastAsia="PMingLiU" w:hAnsi="PMingLiU" w:cs="PMingLiU"/>
          <w:spacing w:val="8"/>
        </w:rPr>
        <w:t>抑制剂过表达的心肌细胞；</w:t>
      </w:r>
      <w:r>
        <w:rPr>
          <w:rStyle w:val="any"/>
          <w:rFonts w:ascii="Times New Roman" w:eastAsia="Times New Roman" w:hAnsi="Times New Roman" w:cs="Times New Roman"/>
          <w:spacing w:val="8"/>
        </w:rPr>
        <w:t>B.</w:t>
      </w:r>
      <w:r>
        <w:rPr>
          <w:rStyle w:val="any"/>
          <w:rFonts w:ascii="PMingLiU" w:eastAsia="PMingLiU" w:hAnsi="PMingLiU" w:cs="PMingLiU"/>
          <w:spacing w:val="8"/>
        </w:rPr>
        <w:t>转染</w:t>
      </w:r>
      <w:r>
        <w:rPr>
          <w:rStyle w:val="any"/>
          <w:rFonts w:ascii="Times New Roman" w:eastAsia="Times New Roman" w:hAnsi="Times New Roman" w:cs="Times New Roman"/>
          <w:spacing w:val="8"/>
        </w:rPr>
        <w:t>miR-320</w:t>
      </w:r>
      <w:r>
        <w:rPr>
          <w:rStyle w:val="any"/>
          <w:rFonts w:ascii="PMingLiU" w:eastAsia="PMingLiU" w:hAnsi="PMingLiU" w:cs="PMingLiU"/>
          <w:spacing w:val="8"/>
        </w:rPr>
        <w:t>模拟物的心肌细胞；</w:t>
      </w:r>
      <w:r>
        <w:rPr>
          <w:rStyle w:val="any"/>
          <w:rFonts w:ascii="Times New Roman" w:eastAsia="Times New Roman" w:hAnsi="Times New Roman" w:cs="Times New Roman"/>
          <w:spacing w:val="8"/>
        </w:rPr>
        <w:t>C.</w:t>
      </w:r>
      <w:r>
        <w:rPr>
          <w:rStyle w:val="any"/>
          <w:rFonts w:ascii="PMingLiU" w:eastAsia="PMingLiU" w:hAnsi="PMingLiU" w:cs="PMingLiU"/>
          <w:spacing w:val="8"/>
        </w:rPr>
        <w:t>转染</w:t>
      </w:r>
      <w:r>
        <w:rPr>
          <w:rStyle w:val="any"/>
          <w:rFonts w:ascii="Times New Roman" w:eastAsia="Times New Roman" w:hAnsi="Times New Roman" w:cs="Times New Roman"/>
          <w:spacing w:val="8"/>
        </w:rPr>
        <w:t>ad-IGF-1</w:t>
      </w:r>
      <w:r>
        <w:rPr>
          <w:rStyle w:val="any"/>
          <w:rFonts w:ascii="PMingLiU" w:eastAsia="PMingLiU" w:hAnsi="PMingLiU" w:cs="PMingLiU"/>
          <w:spacing w:val="8"/>
        </w:rPr>
        <w:t>的心肌细胞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标记重叠。请注意，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 </w:t>
      </w:r>
      <w:r>
        <w:rPr>
          <w:rStyle w:val="any"/>
          <w:rFonts w:ascii="PMingLiU" w:eastAsia="PMingLiU" w:hAnsi="PMingLiU" w:cs="PMingLiU"/>
          <w:spacing w:val="8"/>
        </w:rPr>
        <w:t>相对于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 </w:t>
      </w:r>
      <w:r>
        <w:rPr>
          <w:rStyle w:val="any"/>
          <w:rFonts w:ascii="PMingLiU" w:eastAsia="PMingLiU" w:hAnsi="PMingLiU" w:cs="PMingLiU"/>
          <w:spacing w:val="8"/>
        </w:rPr>
        <w:t>垂直翻转。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78000"/>
            <wp:docPr id="100002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645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Annexin V/</w:t>
      </w:r>
      <w:r>
        <w:rPr>
          <w:rStyle w:val="any"/>
          <w:rFonts w:ascii="PMingLiU" w:eastAsia="PMingLiU" w:hAnsi="PMingLiU" w:cs="PMingLiU"/>
          <w:spacing w:val="8"/>
        </w:rPr>
        <w:t>碘化丙啶凋亡试验检测细胞凋亡率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。一些重复部分用彩色矩形标记。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49040"/>
            <wp:docPr id="100003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723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审稿人没有注意到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与其他论文之间的重叠是可以原谅的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例如来自</w:t>
      </w:r>
      <w:r>
        <w:rPr>
          <w:rStyle w:val="any"/>
          <w:rFonts w:ascii="Times New Roman" w:eastAsia="Times New Roman" w:hAnsi="Times New Roman" w:cs="Times New Roman"/>
          <w:spacing w:val="8"/>
        </w:rPr>
        <w:t>Li et al )(2015)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7074"/>
            <wp:docPr id="100004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3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或者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Wang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3/3C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72614"/>
            <wp:docPr id="100005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94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81328"/>
            <wp:docPr id="100006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20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但是他们怎么可能没有注意到图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中的面板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内的</w:t>
      </w:r>
      <w:r>
        <w:rPr>
          <w:rStyle w:val="any"/>
          <w:rFonts w:ascii="PMingLiU" w:eastAsia="PMingLiU" w:hAnsi="PMingLiU" w:cs="PMingLiU"/>
          <w:spacing w:val="8"/>
        </w:rPr>
        <w:t>重复呢？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9A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大鼠心肌细胞中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p-ASK1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p-JNK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p-p38 </w:t>
      </w:r>
      <w:r>
        <w:rPr>
          <w:rStyle w:val="any"/>
          <w:rFonts w:ascii="PMingLiU" w:eastAsia="PMingLiU" w:hAnsi="PMingLiU" w:cs="PMingLiU"/>
          <w:spacing w:val="8"/>
        </w:rPr>
        <w:t>水平的蛋白质印迹分析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32837"/>
            <wp:docPr id="100007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95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3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8A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心肌组织中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p-ASK1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p-JNK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p-p38 </w:t>
      </w:r>
      <w:r>
        <w:rPr>
          <w:rStyle w:val="any"/>
          <w:rFonts w:ascii="PMingLiU" w:eastAsia="PMingLiU" w:hAnsi="PMingLiU" w:cs="PMingLiU"/>
          <w:spacing w:val="8"/>
        </w:rPr>
        <w:t>水平的蛋白质印迹分析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34838"/>
            <wp:docPr id="100008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217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为了比较：图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Wang et al (2019)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通过蛋白质印迹检测到的凋亡相关蛋白表达</w:t>
      </w:r>
      <w:r>
        <w:rPr>
          <w:rStyle w:val="any"/>
          <w:rFonts w:ascii="Times New Roman" w:eastAsia="Times New Roman" w:hAnsi="Times New Roman" w:cs="Times New Roman"/>
          <w:spacing w:val="8"/>
        </w:rPr>
        <w:t>...”</w:t>
      </w:r>
      <w:r>
        <w:rPr>
          <w:rStyle w:val="any"/>
          <w:rFonts w:ascii="PMingLiU" w:eastAsia="PMingLiU" w:hAnsi="PMingLiU" w:cs="PMingLiU"/>
          <w:spacing w:val="8"/>
        </w:rPr>
        <w:t>；图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Xu et al (2019)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97760"/>
            <wp:docPr id="100009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07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另一发现：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Chen et al (2016)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8000"/>
            <wp:docPr id="100010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007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再次参见图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9A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10200"/>
            <wp:docPr id="100011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22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请注意，在许多条带中，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1-6 </w:t>
      </w:r>
      <w:r>
        <w:rPr>
          <w:rStyle w:val="any"/>
          <w:rFonts w:ascii="PMingLiU" w:eastAsia="PMingLiU" w:hAnsi="PMingLiU" w:cs="PMingLiU"/>
          <w:spacing w:val="8"/>
        </w:rPr>
        <w:t>号泳道和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7-8 </w:t>
      </w:r>
      <w:r>
        <w:rPr>
          <w:rStyle w:val="any"/>
          <w:rFonts w:ascii="PMingLiU" w:eastAsia="PMingLiU" w:hAnsi="PMingLiU" w:cs="PMingLiU"/>
          <w:spacing w:val="8"/>
        </w:rPr>
        <w:t>号泳道之间存在微小的垂直偏移，就好像那些右侧泳道是事后才添加的一样。另外，图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7C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通过蛋白质印迹检测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Bcl-2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Bax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Caspase-3 </w:t>
      </w:r>
      <w:r>
        <w:rPr>
          <w:rStyle w:val="any"/>
          <w:rFonts w:ascii="PMingLiU" w:eastAsia="PMingLiU" w:hAnsi="PMingLiU" w:cs="PMingLiU"/>
          <w:spacing w:val="8"/>
        </w:rPr>
        <w:t>蛋白表达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0197"/>
            <wp:docPr id="100012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48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供对比：图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Yu et al (2016)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不同剂量衣霉素处理</w:t>
      </w:r>
      <w:r>
        <w:rPr>
          <w:rStyle w:val="any"/>
          <w:rFonts w:ascii="Times New Roman" w:eastAsia="Times New Roman" w:hAnsi="Times New Roman" w:cs="Times New Roman"/>
          <w:spacing w:val="8"/>
        </w:rPr>
        <w:t>NCI-H446</w:t>
      </w:r>
      <w:r>
        <w:rPr>
          <w:rStyle w:val="any"/>
          <w:rFonts w:ascii="PMingLiU" w:eastAsia="PMingLiU" w:hAnsi="PMingLiU" w:cs="PMingLiU"/>
          <w:spacing w:val="8"/>
        </w:rPr>
        <w:t>细胞</w:t>
      </w:r>
      <w:r>
        <w:rPr>
          <w:rStyle w:val="any"/>
          <w:rFonts w:ascii="Times New Roman" w:eastAsia="Times New Roman" w:hAnsi="Times New Roman" w:cs="Times New Roman"/>
          <w:spacing w:val="8"/>
        </w:rPr>
        <w:t>24</w:t>
      </w:r>
      <w:r>
        <w:rPr>
          <w:rStyle w:val="any"/>
          <w:rFonts w:ascii="PMingLiU" w:eastAsia="PMingLiU" w:hAnsi="PMingLiU" w:cs="PMingLiU"/>
          <w:spacing w:val="8"/>
        </w:rPr>
        <w:t>小时后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PI3K/AKT/mTOR</w:t>
      </w:r>
      <w:r>
        <w:rPr>
          <w:rStyle w:val="any"/>
          <w:rFonts w:ascii="PMingLiU" w:eastAsia="PMingLiU" w:hAnsi="PMingLiU" w:cs="PMingLiU"/>
          <w:spacing w:val="8"/>
        </w:rPr>
        <w:t>信号通路相关蛋白的表达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*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89987"/>
            <wp:docPr id="100013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10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撤回，因为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该论文所有实验均由第一作者余新双委托商业公司进行，无法提供原始实验数据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再次参见图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9A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11244"/>
            <wp:docPr id="100014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80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现将其注释以便与</w:t>
      </w:r>
      <w:r>
        <w:rPr>
          <w:rStyle w:val="any"/>
          <w:rFonts w:ascii="Times New Roman" w:eastAsia="Times New Roman" w:hAnsi="Times New Roman" w:cs="Times New Roman"/>
          <w:spacing w:val="8"/>
        </w:rPr>
        <w:t>Guo, Jiao &amp; Gao (2018)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3C </w:t>
      </w:r>
      <w:r>
        <w:rPr>
          <w:rStyle w:val="any"/>
          <w:rFonts w:ascii="PMingLiU" w:eastAsia="PMingLiU" w:hAnsi="PMingLiU" w:cs="PMingLiU"/>
          <w:spacing w:val="8"/>
        </w:rPr>
        <w:t>进行比较，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通过蛋白质印迹法测定各组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BDNF </w:t>
      </w:r>
      <w:r>
        <w:rPr>
          <w:rStyle w:val="any"/>
          <w:rFonts w:ascii="PMingLiU" w:eastAsia="PMingLiU" w:hAnsi="PMingLiU" w:cs="PMingLiU"/>
          <w:spacing w:val="8"/>
        </w:rPr>
        <w:t>的蛋白质表达</w:t>
      </w:r>
      <w:r>
        <w:rPr>
          <w:rStyle w:val="any"/>
          <w:rFonts w:ascii="Times New Roman" w:eastAsia="Times New Roman" w:hAnsi="Times New Roman" w:cs="Times New Roman"/>
          <w:spacing w:val="8"/>
        </w:rPr>
        <w:t>...</w:t>
      </w:r>
      <w:r>
        <w:rPr>
          <w:rStyle w:val="any"/>
          <w:rFonts w:ascii="PMingLiU" w:eastAsia="PMingLiU" w:hAnsi="PMingLiU" w:cs="PMingLiU"/>
          <w:spacing w:val="8"/>
        </w:rPr>
        <w:t>通过蛋白质印迹法测量各组凋亡相关蛋白的表达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3840"/>
            <wp:docPr id="100015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78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这些都是多才多艺的乐队。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16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28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编辑们可能希望将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穿心莲内酯在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ERK </w:t>
      </w:r>
      <w:r>
        <w:rPr>
          <w:rStyle w:val="any"/>
          <w:rFonts w:ascii="PMingLiU" w:eastAsia="PMingLiU" w:hAnsi="PMingLiU" w:cs="PMingLiU"/>
          <w:spacing w:val="8"/>
        </w:rPr>
        <w:t>信号通路介导的成骨细胞增殖中的潜在作用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Li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2016</w:t>
      </w:r>
      <w:r>
        <w:rPr>
          <w:rStyle w:val="any"/>
          <w:rFonts w:ascii="PMingLiU" w:eastAsia="PMingLiU" w:hAnsi="PMingLiU" w:cs="PMingLiU"/>
          <w:spacing w:val="8"/>
        </w:rPr>
        <w:t>）纳入他们的调查中。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54760"/>
            <wp:docPr id="100017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342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或者图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5G</w:t>
      </w:r>
      <w:r>
        <w:rPr>
          <w:rStyle w:val="any"/>
          <w:rFonts w:ascii="PMingLiU" w:eastAsia="PMingLiU" w:hAnsi="PMingLiU" w:cs="PMingLiU"/>
          <w:spacing w:val="8"/>
        </w:rPr>
        <w:t>，来自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“MicroRNA-500 </w:t>
      </w:r>
      <w:r>
        <w:rPr>
          <w:rStyle w:val="any"/>
          <w:rFonts w:ascii="PMingLiU" w:eastAsia="PMingLiU" w:hAnsi="PMingLiU" w:cs="PMingLiU"/>
          <w:spacing w:val="8"/>
        </w:rPr>
        <w:t>维持核因子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-κB </w:t>
      </w:r>
      <w:r>
        <w:rPr>
          <w:rStyle w:val="any"/>
          <w:rFonts w:ascii="PMingLiU" w:eastAsia="PMingLiU" w:hAnsi="PMingLiU" w:cs="PMingLiU"/>
          <w:spacing w:val="8"/>
        </w:rPr>
        <w:t>激活并诱导胃癌细胞增殖和抗凋亡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Zhang et al 2015 </w:t>
      </w:r>
      <w:r>
        <w:rPr>
          <w:rStyle w:val="any"/>
          <w:rFonts w:ascii="PMingLiU" w:eastAsia="PMingLiU" w:hAnsi="PMingLiU" w:cs="PMingLiU"/>
          <w:spacing w:val="8"/>
        </w:rPr>
        <w:t>）。这里与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下面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当前的图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6C</w:t>
      </w:r>
      <w:r>
        <w:rPr>
          <w:rStyle w:val="any"/>
          <w:rFonts w:ascii="PMingLiU" w:eastAsia="PMingLiU" w:hAnsi="PMingLiU" w:cs="PMingLiU"/>
          <w:spacing w:val="8"/>
        </w:rPr>
        <w:t>配对。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4640"/>
            <wp:docPr id="100018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44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编辑们可能还想重新审视评论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#5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#6</w:t>
      </w:r>
      <w:r>
        <w:rPr>
          <w:rStyle w:val="any"/>
          <w:rFonts w:ascii="PMingLiU" w:eastAsia="PMingLiU" w:hAnsi="PMingLiU" w:cs="PMingLiU"/>
          <w:spacing w:val="8"/>
        </w:rPr>
        <w:t>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9A 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11244"/>
            <wp:docPr id="100019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并将</w:t>
      </w:r>
      <w:r>
        <w:rPr>
          <w:rStyle w:val="any"/>
          <w:rFonts w:ascii="Times New Roman" w:eastAsia="Times New Roman" w:hAnsi="Times New Roman" w:cs="Times New Roman"/>
          <w:spacing w:val="8"/>
        </w:rPr>
        <w:t>“KDR</w:t>
      </w:r>
      <w:r>
        <w:rPr>
          <w:rStyle w:val="any"/>
          <w:rFonts w:ascii="PMingLiU" w:eastAsia="PMingLiU" w:hAnsi="PMingLiU" w:cs="PMingLiU"/>
          <w:spacing w:val="8"/>
        </w:rPr>
        <w:t>在宫腔粘连中的作用可能涉及</w:t>
      </w:r>
      <w:r>
        <w:rPr>
          <w:rStyle w:val="any"/>
          <w:rFonts w:ascii="Times New Roman" w:eastAsia="Times New Roman" w:hAnsi="Times New Roman" w:cs="Times New Roman"/>
          <w:spacing w:val="8"/>
        </w:rPr>
        <w:t>TGF-β1/Smads</w:t>
      </w:r>
      <w:r>
        <w:rPr>
          <w:rStyle w:val="any"/>
          <w:rFonts w:ascii="PMingLiU" w:eastAsia="PMingLiU" w:hAnsi="PMingLiU" w:cs="PMingLiU"/>
          <w:spacing w:val="8"/>
        </w:rPr>
        <w:t>信号通路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Chen et al 2018</w:t>
      </w:r>
      <w:r>
        <w:rPr>
          <w:rStyle w:val="any"/>
          <w:rFonts w:ascii="PMingLiU" w:eastAsia="PMingLiU" w:hAnsi="PMingLiU" w:cs="PMingLiU"/>
          <w:spacing w:val="8"/>
        </w:rPr>
        <w:t>）中的图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纳入其中。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905375" cy="6572250"/>
            <wp:docPr id="100020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25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丙泊酚通过阻断</w:t>
      </w:r>
      <w:r>
        <w:rPr>
          <w:rStyle w:val="any"/>
          <w:rFonts w:ascii="Times New Roman" w:eastAsia="Times New Roman" w:hAnsi="Times New Roman" w:cs="Times New Roman"/>
          <w:spacing w:val="8"/>
        </w:rPr>
        <w:t>Wnt/β-catenin</w:t>
      </w:r>
      <w:r>
        <w:rPr>
          <w:rStyle w:val="any"/>
          <w:rFonts w:ascii="PMingLiU" w:eastAsia="PMingLiU" w:hAnsi="PMingLiU" w:cs="PMingLiU"/>
          <w:spacing w:val="8"/>
        </w:rPr>
        <w:t>信号通路对过氧化氢诱导的人食管癌的保护作用</w:t>
      </w:r>
      <w:r>
        <w:rPr>
          <w:rStyle w:val="any"/>
          <w:rFonts w:ascii="Times New Roman" w:eastAsia="Times New Roman" w:hAnsi="Times New Roman" w:cs="Times New Roman"/>
          <w:spacing w:val="8"/>
        </w:rPr>
        <w:t>” ( </w:t>
      </w:r>
      <w:r>
        <w:rPr>
          <w:rStyle w:val="any"/>
          <w:rFonts w:ascii="Times New Roman" w:eastAsia="Times New Roman" w:hAnsi="Times New Roman" w:cs="Times New Roman"/>
          <w:spacing w:val="8"/>
        </w:rPr>
        <w:t>Xue et al 2018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 )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05350" cy="3362325"/>
            <wp:docPr id="100021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08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撤回。</w:t>
      </w:r>
      <w:r>
        <w:rPr>
          <w:rStyle w:val="any"/>
          <w:rFonts w:ascii="Times New Roman" w:eastAsia="Times New Roman" w:hAnsi="Times New Roman" w:cs="Times New Roman"/>
          <w:spacing w:val="8"/>
        </w:rPr>
        <w:t>https </w:t>
      </w:r>
      <w:r>
        <w:rPr>
          <w:rStyle w:val="any"/>
          <w:rFonts w:ascii="Times New Roman" w:eastAsia="Times New Roman" w:hAnsi="Times New Roman" w:cs="Times New Roman"/>
          <w:spacing w:val="8"/>
        </w:rPr>
        <w:t>://www.oncotarget.com/article/28704/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https://pmc.ncbi.nlm.nih.gov/articles/PMC5129967/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https://pubpeer.com/publications/C658BDF24A4F7AF3D2B939C309FC92#9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6" w:anchor="wechat_redirect" w:tgtFrame="_blank" w:tooltip="吉林大学第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吉林大学第二医院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hyperlink" Target="https://mp.weixin.qq.com/mp/appmsgalbum?__biz=Mzk1NzgyODkzOQ==&amp;action=getalbum&amp;album_id=3827634715193180161" TargetMode="External" /><Relationship Id="rId27" Type="http://schemas.openxmlformats.org/officeDocument/2006/relationships/numbering" Target="numbering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740&amp;idx=2&amp;sn=af38711541cf1af606aee3ec7aecb0f8&amp;chksm=c2301bfcfbe69461b023f5b67c6060b948e2b3d81fa2969dc449dd5b3fa2c1c6145d6e166a21&amp;scene=126&amp;sessionid=17422283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