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北京大学基础医学院曾任副院长论文现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二次利用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23:29:38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 日 ， 《 Bioscience Reports 》 期 刊 上 一 篇 题 为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“Rapamycin efficiently promotes cardiac differentiation of mouse embryonic stem cells” 雷帕霉素 高效促进小鼠胚胎干细胞向心肌细胞分化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的研究因 Western blot图像重复问题引发关注。该研究被指出其Western blot图像与2016年发表在《Oncotarget》期刊上的另一篇论文中的图像高度相似，且两篇论文至少有一名共 同作者浙江师范大学生命科学学院的Tao Li。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本文由Qin Lu , Yinan Liu  , Yang Wang , Weiping Wang , Zhe Yang , Tao Li  , Yuyao Tian , Ping Chen , Kangtao Ma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Zhuqing Jia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（通讯作者）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Chunyan Zhou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（通讯作者，曾任副院长）共同完成， 通讯单位为北京大学基础医学院生物化学与分子生物学系、蛋白质翻译后修饰与细胞功 能北京市重点实验室、分子心血管科学教育部重点实验室。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97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7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57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54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92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15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https://pubpeer.com/publications/062D4AEADB36EF239A7E3357A1810A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97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10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39&amp;idx=1&amp;sn=73b8e43df1fa5537350fb77e381e56e9&amp;chksm=c26ee343b168bca1b52c527c12aaf6f08373ade0948996a61fd4f32fb46371f9ebf2cf71e3fe&amp;scene=126&amp;sessionid=17422289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